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PRIRODOSLOVNO-GRAFIČKA ŠKOLA ZADAR</w:t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Perivoj Vladimira Nazora 3</w:t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RKP: 18776</w:t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Matični broj: 00385786</w:t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OIB: 87945705905</w:t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Šifra djelatnosti: 8532</w:t>
      </w:r>
    </w:p>
    <w:p>
      <w:pPr>
        <w:spacing w:after="0"/>
        <w:rPr>
          <w:rFonts w:ascii="Times New Roman" w:hAnsi="Times New Roman" w:cs="Times New Roman"/>
        </w:rPr>
      </w:pPr>
    </w:p>
    <w:p>
      <w:pPr>
        <w:spacing w:after="0" w:line="240" w:lineRule="auto"/>
        <w:ind w:right="-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KLASA:       </w:t>
      </w:r>
      <w:r>
        <w:rPr>
          <w:rFonts w:ascii="Times New Roman" w:hAnsi="Times New Roman" w:cs="Times New Roman"/>
          <w:noProof/>
          <w:szCs w:val="24"/>
          <w:lang w:val="en-US"/>
        </w:rPr>
        <w:t xml:space="preserve">400-02/25-01/2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   </w:t>
      </w:r>
    </w:p>
    <w:p>
      <w:pPr>
        <w: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URBROJ:     </w:t>
      </w:r>
      <w:r>
        <w:rPr>
          <w:rFonts w:ascii="Times New Roman" w:hAnsi="Times New Roman" w:cs="Times New Roman"/>
          <w:noProof/>
          <w:szCs w:val="24"/>
        </w:rPr>
        <w:t xml:space="preserve">2198-1-63-25-1</w:t>
      </w:r>
      <w:r>
        <w:rPr>
          <w:rFonts w:ascii="Times New Roman" w:hAnsi="Times New Roman" w:cs="Times New Roman"/>
          <w:szCs w:val="24"/>
        </w:rPr>
        <w:t xml:space="preserve">                                              </w:t>
      </w:r>
    </w:p>
    <w:p>
      <w:pPr>
        <w: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</w:t>
      </w:r>
      <w:r>
        <w:rPr/>
        <w:drawing>
          <wp:inline>
            <wp:extent cx="933580" cy="93358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</w:p>
    <w:p>
      <w:pPr>
        <w:spacing w:after="0"/>
        <w:rPr>
          <w:rFonts w:ascii="Times New Roman" w:hAnsi="Times New Roman" w:cs="Times New Roman"/>
        </w:rPr>
      </w:pPr>
    </w:p>
    <w:p>
      <w:pPr>
        <w:spacing w:after="211" w:line="268" w:lineRule="auto"/>
        <w:ind w:left="10" w:hanging="10"/>
        <w:rPr>
          <w:rFonts w:ascii="Times New Roman" w:hAnsi="Times New Roman" w:cs="Times New Roman"/>
        </w:rPr>
      </w:pPr>
    </w:p>
    <w:p>
      <w:pPr>
        <w: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Zadar, </w:t>
      </w:r>
      <w:r>
        <w:rPr>
          <w:rFonts w:ascii="Times New Roman" w:hAnsi="Times New Roman" w:cs="Times New Roman"/>
        </w:rPr>
        <w:t xml:space="preserve">7</w:t>
      </w:r>
      <w:r>
        <w:rPr>
          <w:rFonts w:ascii="Times New Roman" w:hAnsi="Times New Roman" w:cs="Times New Roman"/>
        </w:rPr>
        <w:t xml:space="preserve">.10.2025. godine</w:t>
      </w:r>
      <w:r>
        <w:rPr>
          <w:rFonts w:ascii="Times New Roman" w:hAnsi="Times New Roman" w:cs="Times New Roman"/>
        </w:rPr>
        <w:t xml:space="preserve">                                                                      </w:t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/>
      </w:r>
    </w:p>
    <w:p>
      <w:pPr>
        <w:spacing w:after="0"/>
        <w:rPr>
          <w:rFonts w:ascii="Times New Roman" w:hAnsi="Times New Roman" w:cs="Times New Roman"/>
        </w:rPr>
      </w:pPr>
    </w:p>
    <w:p>
      <w:pPr>
        <w:spacing w:after="0"/>
        <w:rPr>
          <w:rFonts w:ascii="Times New Roman" w:hAnsi="Times New Roman" w:cs="Times New Roman"/>
        </w:rPr>
      </w:pPr>
    </w:p>
    <w:p>
      <w:pPr>
        <w:spacing w:after="0"/>
        <w:rPr>
          <w:rFonts w:ascii="Times New Roman" w:hAnsi="Times New Roman" w:cs="Times New Roman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OBRAZLOŽENJE FINANCIJSKOG PLANA</w:t>
      </w: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za </w:t>
      </w:r>
      <w:r>
        <w:rPr>
          <w:rFonts w:ascii="Times New Roman" w:hAnsi="Times New Roman" w:cs="Times New Roman"/>
          <w:b/>
          <w:sz w:val="28"/>
          <w:szCs w:val="28"/>
        </w:rPr>
        <w:t xml:space="preserve">2026.godinu i projekcij</w:t>
      </w:r>
      <w:r>
        <w:rPr>
          <w:rFonts w:ascii="Times New Roman" w:hAnsi="Times New Roman" w:cs="Times New Roman"/>
          <w:b/>
          <w:sz w:val="28"/>
          <w:szCs w:val="28"/>
        </w:rPr>
        <w:t xml:space="preserve">a</w:t>
      </w:r>
      <w:r>
        <w:rPr>
          <w:rFonts w:ascii="Times New Roman" w:hAnsi="Times New Roman" w:cs="Times New Roman"/>
          <w:b/>
          <w:sz w:val="28"/>
          <w:szCs w:val="28"/>
        </w:rPr>
        <w:t xml:space="preserve"> financijskog</w:t>
      </w:r>
      <w:r>
        <w:rPr>
          <w:rFonts w:ascii="Times New Roman" w:hAnsi="Times New Roman" w:cs="Times New Roman"/>
          <w:b/>
          <w:sz w:val="28"/>
          <w:szCs w:val="28"/>
        </w:rPr>
        <w:t xml:space="preserve"> plana za 202</w:t>
      </w:r>
      <w:r>
        <w:rPr>
          <w:rFonts w:ascii="Times New Roman" w:hAnsi="Times New Roman" w:cs="Times New Roman"/>
          <w:b/>
          <w:sz w:val="28"/>
          <w:szCs w:val="28"/>
        </w:rPr>
        <w:t xml:space="preserve">7</w:t>
      </w:r>
      <w:r>
        <w:rPr>
          <w:rFonts w:ascii="Times New Roman" w:hAnsi="Times New Roman" w:cs="Times New Roman"/>
          <w:b/>
          <w:sz w:val="28"/>
          <w:szCs w:val="28"/>
        </w:rPr>
        <w:t xml:space="preserve">. i 202</w:t>
      </w:r>
      <w:r>
        <w:rPr>
          <w:rFonts w:ascii="Times New Roman" w:hAnsi="Times New Roman" w:cs="Times New Roman"/>
          <w:b/>
          <w:sz w:val="28"/>
          <w:szCs w:val="28"/>
        </w:rPr>
        <w:t xml:space="preserve">8</w:t>
      </w:r>
      <w:r>
        <w:rPr>
          <w:rFonts w:ascii="Times New Roman" w:hAnsi="Times New Roman" w:cs="Times New Roman"/>
          <w:b/>
          <w:sz w:val="28"/>
          <w:szCs w:val="28"/>
        </w:rPr>
        <w:t xml:space="preserve">. godinu</w:t>
      </w:r>
    </w:p>
    <w:p>
      <w:pPr>
        <w:spacing w:after="0"/>
        <w:jc w:val="center"/>
        <w:rPr>
          <w:rFonts w:ascii="Times New Roman" w:hAnsi="Times New Roman" w:cs="Times New Roman"/>
          <w:b/>
        </w:rPr>
      </w:pPr>
    </w:p>
    <w:p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SAŽETAK DJELOKRUGA RADA</w:t>
      </w:r>
    </w:p>
    <w:p>
      <w:pPr>
        <w:spacing w:after="0"/>
        <w:ind w:firstLine="708"/>
        <w:jc w:val="both"/>
        <w:rPr>
          <w:rFonts w:ascii="Times New Roman" w:hAnsi="Times New Roman" w:cs="Times New Roman"/>
        </w:rPr>
      </w:pP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Škola je osnovana 1992. godine nakon što je ukinut Centar za odgoj i usmjereno obrazovanje Juraj Baraković, i to pod imenom Kemijska škola kao jedan od pravnih slijednika Centra. Županijska skupština Zadarske županije 2004. godine promijenila je naziv škole u Prirodoslovno-grafičku školu.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prostoru školske zgrade u Perivoju Vladimira Nazora 3 djeluju četiri srednje škole, a Prirodoslovno-grafičkoj školi Zadar je dodijeljen prostor u prizemlju. Školsko dvorište koje je ujedno i igralište koristi se zajednički s drugim školama.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Nastava se izvodi u petodnevnom radnom tjednu, naizmjenično u dvije smjene.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Obrazovni programi škole su: dizajner grafičkih proizvoda, medijski tehničar, tehničar za razvoj i dizajn web sučelja, web dizajner, grafički urednik dizajner, kemijski tehničar, ekološki tehničar i prirodoslovna gimnazija. U školskoj 2025/26. godini škola ima 261 učenika.</w:t>
      </w:r>
    </w:p>
    <w:p>
      <w:pPr>
        <w:spacing w:after="0"/>
        <w:jc w:val="center"/>
        <w:rPr>
          <w:rFonts w:ascii="Times New Roman" w:hAnsi="Times New Roman" w:cs="Times New Roman"/>
          <w:b/>
        </w:rPr>
      </w:pPr>
    </w:p>
    <w:p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OBRAZLOŽENJE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OPĆEG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DIJELA</w:t>
      </w:r>
    </w:p>
    <w:p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Prihodi i primici</w:t>
      </w:r>
    </w:p>
    <w:p>
      <w:pPr>
        <w:spacing w:after="0"/>
        <w:jc w:val="both"/>
        <w:rPr>
          <w:rFonts w:ascii="Times New Roman" w:hAnsi="Times New Roman" w:cs="Times New Roman"/>
          <w:b/>
          <w:bCs/>
        </w:rPr>
      </w:pPr>
    </w:p>
    <w:tbl>
      <w:tblPr>
        <w:tblW w:w="8819" w:type="dxa"/>
        <w:tblInd w:w="-3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851"/>
        <w:gridCol w:w="2551"/>
        <w:gridCol w:w="1843"/>
        <w:gridCol w:w="1559"/>
        <w:gridCol w:w="1276"/>
      </w:tblGrid>
      <w:tr>
        <w:trPr>
          <w:trHeight w:val="379" w:hRule="atLeast"/>
        </w:trPr>
        <w:tc>
          <w:tcPr>
            <w:tcW w:type="dxa" w:w="73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C0C0C0" w:val="solid"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Razred</w:t>
            </w:r>
          </w:p>
        </w:tc>
        <w:tc>
          <w:tcPr>
            <w:tcW w:type="dxa" w:w="851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fill="auto" w:color="C0C0C0" w:val="solid"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Skupina</w:t>
            </w:r>
          </w:p>
        </w:tc>
        <w:tc>
          <w:tcPr>
            <w:tcW w:type="dxa" w:w="2551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fill="auto" w:color="C0C0C0" w:val="solid"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Naziv prihoda</w:t>
            </w:r>
          </w:p>
        </w:tc>
        <w:tc>
          <w:tcPr>
            <w:tcW w:type="dxa" w:w="184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C0C0C0" w:val="solid"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Plan 2025.</w:t>
            </w:r>
          </w:p>
        </w:tc>
        <w:tc>
          <w:tcPr>
            <w:tcW w:type="dxa" w:w="155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C0C0C0" w:val="solid"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Plan za 2026.</w:t>
            </w:r>
          </w:p>
        </w:tc>
        <w:tc>
          <w:tcPr>
            <w:tcW w:type="dxa" w:w="127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C0C0C0" w:val="solid"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Indeks</w:t>
            </w:r>
          </w:p>
        </w:tc>
      </w:tr>
      <w:tr>
        <w:trPr>
          <w:trHeight w:val="223" w:hRule="atLeast"/>
        </w:trPr>
        <w:tc>
          <w:tcPr>
            <w:tcW w:type="dxa" w:w="73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type="dxa" w:w="851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type="dxa" w:w="2551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PRIHODI UKUPNO</w:t>
            </w:r>
          </w:p>
        </w:tc>
        <w:tc>
          <w:tcPr>
            <w:tcW w:type="dxa" w:w="184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1.295.190,53</w:t>
            </w:r>
          </w:p>
        </w:tc>
        <w:tc>
          <w:tcPr>
            <w:tcW w:type="dxa" w:w="155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1.502.370,77</w:t>
            </w:r>
          </w:p>
        </w:tc>
        <w:tc>
          <w:tcPr>
            <w:tcW w:type="dxa" w:w="127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115,99</w:t>
            </w:r>
          </w:p>
        </w:tc>
      </w:tr>
      <w:tr>
        <w:trPr>
          <w:trHeight w:val="235" w:hRule="atLeast"/>
        </w:trPr>
        <w:tc>
          <w:tcPr>
            <w:tcW w:type="dxa" w:w="73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FFFFFF" w:val="solid"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type="dxa" w:w="85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FFFFFF" w:val="solid"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type="dxa" w:w="255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FFFFFF" w:val="solid"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Prihodi poslovanja</w:t>
            </w:r>
          </w:p>
        </w:tc>
        <w:tc>
          <w:tcPr>
            <w:tcW w:type="dxa" w:w="184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FFFFFF" w:val="solid"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1.295.190,53</w:t>
            </w:r>
          </w:p>
        </w:tc>
        <w:tc>
          <w:tcPr>
            <w:tcW w:type="dxa" w:w="155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FFFFFF" w:val="solid"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1.502.370,77</w:t>
            </w:r>
          </w:p>
        </w:tc>
        <w:tc>
          <w:tcPr>
            <w:tcW w:type="dxa" w:w="127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FFFFFF" w:val="solid"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115,99</w:t>
            </w:r>
          </w:p>
        </w:tc>
      </w:tr>
      <w:tr>
        <w:trPr>
          <w:trHeight w:val="569" w:hRule="atLeast"/>
        </w:trPr>
        <w:tc>
          <w:tcPr>
            <w:tcW w:type="dxa" w:w="73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FFFFFF" w:val="solid"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type="dxa" w:w="85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FFFFFF" w:val="solid"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63</w:t>
            </w:r>
          </w:p>
        </w:tc>
        <w:tc>
          <w:tcPr>
            <w:tcW w:type="dxa" w:w="255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FFFFFF" w:val="solid"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Pomoći iz inozemstva i od subjekata unutar općeg proračuna</w:t>
            </w:r>
          </w:p>
        </w:tc>
        <w:tc>
          <w:tcPr>
            <w:tcW w:type="dxa" w:w="184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FFFFFF" w:val="solid"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1.188.483,21</w:t>
            </w:r>
          </w:p>
        </w:tc>
        <w:tc>
          <w:tcPr>
            <w:tcW w:type="dxa" w:w="155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FFFFFF" w:val="solid"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1.389.600,80</w:t>
            </w:r>
          </w:p>
        </w:tc>
        <w:tc>
          <w:tcPr>
            <w:tcW w:type="dxa" w:w="127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FFFFFF" w:val="solid"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116,92</w:t>
            </w:r>
          </w:p>
        </w:tc>
      </w:tr>
      <w:tr>
        <w:trPr>
          <w:trHeight w:val="758" w:hRule="atLeast"/>
        </w:trPr>
        <w:tc>
          <w:tcPr>
            <w:tcW w:type="dxa" w:w="73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FFFFFF" w:val="solid"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type="dxa" w:w="85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FFFFFF" w:val="solid"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65</w:t>
            </w:r>
          </w:p>
        </w:tc>
        <w:tc>
          <w:tcPr>
            <w:tcW w:type="dxa" w:w="255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FFFFFF" w:val="solid"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Prihodi od upravih i administrativnih pristojbi, pristojbi po posebnim propisima i naknada</w:t>
            </w:r>
          </w:p>
        </w:tc>
        <w:tc>
          <w:tcPr>
            <w:tcW w:type="dxa" w:w="184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FFFFFF" w:val="solid"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1.418,55</w:t>
            </w:r>
          </w:p>
        </w:tc>
        <w:tc>
          <w:tcPr>
            <w:tcW w:type="dxa" w:w="155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FFFFFF" w:val="solid"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100,00</w:t>
            </w:r>
          </w:p>
        </w:tc>
        <w:tc>
          <w:tcPr>
            <w:tcW w:type="dxa" w:w="127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FFFFFF" w:val="solid"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7,05</w:t>
            </w:r>
          </w:p>
        </w:tc>
      </w:tr>
      <w:tr>
        <w:trPr>
          <w:trHeight w:val="569" w:hRule="atLeast"/>
        </w:trPr>
        <w:tc>
          <w:tcPr>
            <w:tcW w:type="dxa" w:w="73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FFFFFF" w:val="solid"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type="dxa" w:w="85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FFFFFF" w:val="solid"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66</w:t>
            </w:r>
          </w:p>
        </w:tc>
        <w:tc>
          <w:tcPr>
            <w:tcW w:type="dxa" w:w="255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FFFFFF" w:val="solid"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Prihodi od prodaje proizvoda i robe te pruženih usluga i prihodi od donacija</w:t>
            </w:r>
          </w:p>
        </w:tc>
        <w:tc>
          <w:tcPr>
            <w:tcW w:type="dxa" w:w="184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FFFFFF" w:val="solid"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9.066,00</w:t>
            </w:r>
          </w:p>
        </w:tc>
        <w:tc>
          <w:tcPr>
            <w:tcW w:type="dxa" w:w="155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FFFFFF" w:val="solid"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16.447,20</w:t>
            </w:r>
          </w:p>
        </w:tc>
        <w:tc>
          <w:tcPr>
            <w:tcW w:type="dxa" w:w="127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FFFFFF" w:val="solid"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181,41</w:t>
            </w:r>
          </w:p>
        </w:tc>
      </w:tr>
      <w:tr>
        <w:trPr>
          <w:trHeight w:val="569" w:hRule="atLeast"/>
        </w:trPr>
        <w:tc>
          <w:tcPr>
            <w:tcW w:type="dxa" w:w="73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FFFFFF" w:val="solid"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type="dxa" w:w="85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FFFFFF" w:val="solid"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67</w:t>
            </w:r>
          </w:p>
        </w:tc>
        <w:tc>
          <w:tcPr>
            <w:tcW w:type="dxa" w:w="255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FFFFFF" w:val="solid"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Prihodi iz nadležnog proračuna i od HZZO-a temeljem ugovornih obveza</w:t>
            </w:r>
          </w:p>
        </w:tc>
        <w:tc>
          <w:tcPr>
            <w:tcW w:type="dxa" w:w="184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FFFFFF" w:val="solid"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96.222,77</w:t>
            </w:r>
          </w:p>
        </w:tc>
        <w:tc>
          <w:tcPr>
            <w:tcW w:type="dxa" w:w="155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FFFFFF" w:val="solid"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96.222,77</w:t>
            </w:r>
          </w:p>
        </w:tc>
        <w:tc>
          <w:tcPr>
            <w:tcW w:type="dxa" w:w="127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FFFFFF" w:val="solid"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100</w:t>
            </w:r>
          </w:p>
        </w:tc>
      </w:tr>
    </w:tbl>
    <w:p>
      <w:pPr>
        <w:spacing w:after="0"/>
        <w:jc w:val="both"/>
        <w:rPr>
          <w:rFonts w:ascii="Times New Roman" w:hAnsi="Times New Roman" w:cs="Times New Roman"/>
        </w:rPr>
      </w:pP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Prihodi za 2026. godinu planiraju se u iznosu od 1.502.370,77 eura a odnose se na prihode poslovanja. Najveći dio prihoda odnosi se na prihode iz državnog proračuna iz kojeg se financiraju plaće zaposlenika i ostali troškovi zaposlenika (poput regresa, nagrada, pomoći). Prihodima Zadarske Županije koji su planirani u iznosu od 95.044,93 eura financiraju se rashodi za materijal, energiju, rashodi za usluge te naknade troškova zaposlenima (prijevoz, službena putovanja, seminari i savjetovanja). Vlastiti prihodi od najma prostora i prodaje vlastitih proizvoda i usluga planirani su u iznosu od 5.850,00 eura. Pomoći iz inozemstva odnose se na prihode od EU </w:t>
      </w:r>
      <w:r>
        <w:rPr>
          <w:rFonts w:ascii="Times New Roman" w:hAnsi="Times New Roman" w:cs="Times New Roman"/>
        </w:rPr>
        <w:t xml:space="preserve">p</w:t>
      </w:r>
      <w:r>
        <w:rPr>
          <w:rFonts w:ascii="Times New Roman" w:hAnsi="Times New Roman" w:cs="Times New Roman"/>
        </w:rPr>
        <w:t xml:space="preserve">rojekata: Projekt Inkluziju – korak bliže društvu bez prepreka, Projekt Erasmus Link Up, i Projekt Erasmus Imaginarium. </w:t>
      </w:r>
      <w:r>
        <w:rPr>
          <w:rFonts w:ascii="Times New Roman" w:hAnsi="Times New Roman" w:cs="Times New Roman"/>
        </w:rPr>
        <w:t xml:space="preserve">Prihodi za </w:t>
      </w:r>
      <w:r>
        <w:rPr>
          <w:rFonts w:ascii="Times New Roman" w:hAnsi="Times New Roman" w:cs="Times New Roman"/>
        </w:rPr>
        <w:t xml:space="preserve">EU </w:t>
      </w:r>
      <w:r>
        <w:rPr>
          <w:rFonts w:ascii="Times New Roman" w:hAnsi="Times New Roman" w:cs="Times New Roman"/>
        </w:rPr>
        <w:t xml:space="preserve">Projekt Erasmus Young Minds u iznosu od 10.531,20 eura planiraju se na skupini 66.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 LinkUp bi trebao imati završnu isplatu početkom 2026. godine, a za Projekt Imaginarium se planira provedba i završna isplata kroz 2026. godinu. Projekt Young Minds traje do kraja ožujka 2027. godine.</w:t>
      </w:r>
    </w:p>
    <w:p>
      <w:pPr>
        <w:spacing w:after="0"/>
        <w:jc w:val="both"/>
        <w:rPr>
          <w:rFonts w:ascii="Times New Roman" w:hAnsi="Times New Roman" w:cs="Times New Roman"/>
        </w:rPr>
      </w:pPr>
    </w:p>
    <w:p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Rashodi i izdaci</w:t>
      </w:r>
    </w:p>
    <w:p>
      <w:pPr>
        <w:spacing w:after="0"/>
        <w:jc w:val="both"/>
        <w:rPr>
          <w:rFonts w:ascii="Times New Roman" w:hAnsi="Times New Roman" w:cs="Times New Roman"/>
          <w:b/>
          <w:bCs/>
        </w:rPr>
      </w:pPr>
    </w:p>
    <w:tbl>
      <w:tblPr>
        <w:tblW w:w="8961" w:type="dxa"/>
        <w:tblInd w:w="-3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000" w:firstRow="0" w:lastRow="0" w:firstColumn="0" w:lastColumn="0" w:noHBand="0" w:noVBand="0"/>
      </w:tblPr>
      <w:tblGrid>
        <w:gridCol w:w="881"/>
        <w:gridCol w:w="992"/>
        <w:gridCol w:w="2977"/>
        <w:gridCol w:w="1559"/>
        <w:gridCol w:w="1559"/>
        <w:gridCol w:w="993"/>
      </w:tblGrid>
      <w:tr>
        <w:trPr>
          <w:trHeight w:val="379" w:hRule="atLeast"/>
        </w:trPr>
        <w:tc>
          <w:tcPr>
            <w:tcW w:type="dxa" w:w="88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C0C0C0" w:val="solid"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Razred</w:t>
            </w:r>
          </w:p>
        </w:tc>
        <w:tc>
          <w:tcPr>
            <w:tcW w:type="dxa" w:w="99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fill="auto" w:color="C0C0C0" w:val="solid"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Skupina</w:t>
            </w:r>
          </w:p>
        </w:tc>
        <w:tc>
          <w:tcPr>
            <w:tcW w:type="dxa" w:w="297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fill="auto" w:color="C0C0C0" w:val="solid"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Naziv rashoda</w:t>
            </w:r>
          </w:p>
        </w:tc>
        <w:tc>
          <w:tcPr>
            <w:tcW w:type="dxa" w:w="155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C0C0C0" w:val="solid"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Plan 2025.</w:t>
            </w:r>
          </w:p>
        </w:tc>
        <w:tc>
          <w:tcPr>
            <w:tcW w:type="dxa" w:w="155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C0C0C0" w:val="solid"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Plan za 2026.</w:t>
            </w:r>
          </w:p>
        </w:tc>
        <w:tc>
          <w:tcPr>
            <w:tcW w:type="dxa" w:w="99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C0C0C0" w:val="solid"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Indeks</w:t>
            </w:r>
          </w:p>
        </w:tc>
      </w:tr>
      <w:tr>
        <w:trPr>
          <w:trHeight w:val="223" w:hRule="atLeast"/>
        </w:trPr>
        <w:tc>
          <w:tcPr>
            <w:tcW w:type="dxa" w:w="88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type="dxa" w:w="99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type="dxa" w:w="297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RASHODI UKUPNO</w:t>
            </w:r>
          </w:p>
        </w:tc>
        <w:tc>
          <w:tcPr>
            <w:tcW w:type="dxa" w:w="155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1.381.086,53</w:t>
            </w:r>
          </w:p>
        </w:tc>
        <w:tc>
          <w:tcPr>
            <w:tcW w:type="dxa" w:w="155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1.533.091,57</w:t>
            </w:r>
          </w:p>
        </w:tc>
        <w:tc>
          <w:tcPr>
            <w:tcW w:type="dxa" w:w="99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111,01</w:t>
            </w:r>
          </w:p>
        </w:tc>
      </w:tr>
      <w:tr>
        <w:trPr>
          <w:trHeight w:val="235" w:hRule="atLeast"/>
        </w:trPr>
        <w:tc>
          <w:tcPr>
            <w:tcW w:type="dxa" w:w="88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FFFFFF" w:val="solid"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type="dxa" w:w="99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FFFFFF" w:val="solid"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type="dxa" w:w="297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FFFFFF" w:val="solid"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Rashodi poslovanja</w:t>
            </w:r>
          </w:p>
        </w:tc>
        <w:tc>
          <w:tcPr>
            <w:tcW w:type="dxa" w:w="155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FFFFFF" w:val="solid"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1.365.810,13</w:t>
            </w:r>
          </w:p>
        </w:tc>
        <w:tc>
          <w:tcPr>
            <w:tcW w:type="dxa" w:w="155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FFFFFF" w:val="solid"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1.530.341,57</w:t>
            </w:r>
          </w:p>
        </w:tc>
        <w:tc>
          <w:tcPr>
            <w:tcW w:type="dxa" w:w="99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FFFFFF" w:val="solid"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112,05</w:t>
            </w:r>
          </w:p>
        </w:tc>
      </w:tr>
      <w:tr>
        <w:trPr>
          <w:trHeight w:val="235" w:hRule="atLeast"/>
        </w:trPr>
        <w:tc>
          <w:tcPr>
            <w:tcW w:type="dxa" w:w="88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FFFFFF" w:val="solid"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type="dxa" w:w="99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FFFFFF" w:val="solid"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31</w:t>
            </w:r>
          </w:p>
        </w:tc>
        <w:tc>
          <w:tcPr>
            <w:tcW w:type="dxa" w:w="297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FFFFFF" w:val="solid"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Rashodi za zaposlene</w:t>
            </w:r>
          </w:p>
        </w:tc>
        <w:tc>
          <w:tcPr>
            <w:tcW w:type="dxa" w:w="155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FFFFFF" w:val="solid"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1.159.100,00</w:t>
            </w:r>
          </w:p>
        </w:tc>
        <w:tc>
          <w:tcPr>
            <w:tcW w:type="dxa" w:w="155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FFFFFF" w:val="solid"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1.329.700,00</w:t>
            </w:r>
          </w:p>
        </w:tc>
        <w:tc>
          <w:tcPr>
            <w:tcW w:type="dxa" w:w="99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FFFFFF" w:val="solid"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114,72</w:t>
            </w:r>
          </w:p>
        </w:tc>
      </w:tr>
      <w:tr>
        <w:trPr>
          <w:trHeight w:val="223" w:hRule="atLeast"/>
        </w:trPr>
        <w:tc>
          <w:tcPr>
            <w:tcW w:type="dxa" w:w="88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FFFFFF" w:val="solid"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type="dxa" w:w="99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FFFFFF" w:val="solid"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32</w:t>
            </w:r>
          </w:p>
        </w:tc>
        <w:tc>
          <w:tcPr>
            <w:tcW w:type="dxa" w:w="297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FFFFFF" w:val="solid"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Materijalni rashodi</w:t>
            </w:r>
          </w:p>
        </w:tc>
        <w:tc>
          <w:tcPr>
            <w:tcW w:type="dxa" w:w="155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FFFFFF" w:val="solid"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206.710,13</w:t>
            </w:r>
          </w:p>
        </w:tc>
        <w:tc>
          <w:tcPr>
            <w:tcW w:type="dxa" w:w="155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FFFFFF" w:val="solid"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200.641,57</w:t>
            </w:r>
          </w:p>
        </w:tc>
        <w:tc>
          <w:tcPr>
            <w:tcW w:type="dxa" w:w="99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FFFFFF" w:val="solid"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97,06</w:t>
            </w:r>
          </w:p>
        </w:tc>
      </w:tr>
      <w:tr>
        <w:trPr>
          <w:trHeight w:val="379" w:hRule="atLeast"/>
        </w:trPr>
        <w:tc>
          <w:tcPr>
            <w:tcW w:type="dxa" w:w="88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FFFFFF" w:val="solid"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type="dxa" w:w="99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FFFFFF" w:val="solid"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type="dxa" w:w="297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FFFFFF" w:val="solid"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Rashodi za nabavu nefinancijske imovine</w:t>
            </w:r>
          </w:p>
        </w:tc>
        <w:tc>
          <w:tcPr>
            <w:tcW w:type="dxa" w:w="155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FFFFFF" w:val="solid"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15.276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,40</w:t>
            </w:r>
          </w:p>
        </w:tc>
        <w:tc>
          <w:tcPr>
            <w:tcW w:type="dxa" w:w="155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FFFFFF" w:val="solid"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2.750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,00</w:t>
            </w:r>
          </w:p>
        </w:tc>
        <w:tc>
          <w:tcPr>
            <w:tcW w:type="dxa" w:w="99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FFFFFF" w:val="solid"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18,00</w:t>
            </w:r>
          </w:p>
        </w:tc>
      </w:tr>
      <w:tr>
        <w:trPr>
          <w:trHeight w:val="569" w:hRule="atLeast"/>
        </w:trPr>
        <w:tc>
          <w:tcPr>
            <w:tcW w:type="dxa" w:w="88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FFFFFF" w:val="solid"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type="dxa" w:w="99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FFFFFF" w:val="solid"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</w:t>
            </w:r>
          </w:p>
        </w:tc>
        <w:tc>
          <w:tcPr>
            <w:tcW w:type="dxa" w:w="297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FFFFFF" w:val="solid"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Rashodi za nabavu proizvedene dugotrajne imovine</w:t>
            </w:r>
          </w:p>
        </w:tc>
        <w:tc>
          <w:tcPr>
            <w:tcW w:type="dxa" w:w="155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FFFFFF" w:val="solid"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15.276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,40</w:t>
            </w:r>
          </w:p>
        </w:tc>
        <w:tc>
          <w:tcPr>
            <w:tcW w:type="dxa" w:w="155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FFFFFF" w:val="solid"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2.750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,00</w:t>
            </w:r>
          </w:p>
        </w:tc>
        <w:tc>
          <w:tcPr>
            <w:tcW w:type="dxa" w:w="99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FFFFFF" w:val="solid"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18,00</w:t>
            </w:r>
          </w:p>
        </w:tc>
      </w:tr>
    </w:tbl>
    <w:p>
      <w:pPr>
        <w:spacing w:after="0"/>
        <w:jc w:val="both"/>
        <w:rPr>
          <w:rFonts w:ascii="Times New Roman" w:hAnsi="Times New Roman" w:cs="Times New Roman"/>
          <w:b/>
          <w:bCs/>
        </w:rPr>
      </w:pP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Ukupni rashodi za 2026. godinu planiraju se u iznosu od 1.533.091,57 eura, a sastoje se većinom od rashoda poslovanja i manjim dijelom od rashoda za nabavu nefinancijske imovine.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Rashodi poslovanja za 2026. godinu planiraju se u iznosu od  1.530.341,57 eura, a odnose se na rashode za zaposlene i materijalne rashode. Rashodi za zaposlene planiraju se u iznosu od 1.329.700,00 eura te se većinom odnose na rashode za plaće i materijalna prava zaposlenika.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2026. planiraju se manja sredstva za rashode za nabavu nefinancijske imovine u odnosu na 2025. godinu iz razloga što se pretpostavlja da će biti manje prihoda iz vlastitih izvora raspoloživih za tu namjenu.</w:t>
      </w:r>
    </w:p>
    <w:p>
      <w:pPr>
        <w:spacing w:after="0"/>
        <w:jc w:val="both"/>
        <w:rPr>
          <w:rFonts w:ascii="Times New Roman" w:hAnsi="Times New Roman" w:cs="Times New Roman"/>
        </w:rPr>
      </w:pPr>
    </w:p>
    <w:p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Višak prihoda</w:t>
      </w:r>
    </w:p>
    <w:p>
      <w:pPr>
        <w:spacing w:after="0"/>
        <w:jc w:val="both"/>
        <w:rPr>
          <w:rFonts w:ascii="Times New Roman" w:hAnsi="Times New Roman" w:cs="Times New Roman"/>
          <w:b/>
          <w:bCs/>
        </w:rPr>
      </w:pP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Planir</w:t>
      </w:r>
      <w:r>
        <w:rPr>
          <w:rFonts w:ascii="Times New Roman" w:hAnsi="Times New Roman" w:cs="Times New Roman"/>
        </w:rPr>
        <w:t xml:space="preserve">a se prenijeti višak prihoda iz 2025. u 2026. godinu</w:t>
      </w:r>
      <w:r>
        <w:rPr>
          <w:rFonts w:ascii="Times New Roman" w:hAnsi="Times New Roman" w:cs="Times New Roman"/>
        </w:rPr>
        <w:t xml:space="preserve"> u iznosu od 30.720,80 eura</w:t>
      </w:r>
      <w:r>
        <w:rPr>
          <w:rFonts w:ascii="Times New Roman" w:hAnsi="Times New Roman" w:cs="Times New Roman"/>
        </w:rPr>
        <w:t xml:space="preserve">, te će se rasporediti u 2026. u cijelosti.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Većina viška prihoda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 iznosu od </w:t>
      </w:r>
      <w:r>
        <w:rPr>
          <w:rFonts w:ascii="Times New Roman" w:hAnsi="Times New Roman" w:cs="Times New Roman"/>
        </w:rPr>
        <w:t xml:space="preserve">24.520,80 eura</w:t>
      </w:r>
      <w:r>
        <w:rPr>
          <w:rFonts w:ascii="Times New Roman" w:hAnsi="Times New Roman" w:cs="Times New Roman"/>
        </w:rPr>
        <w:t xml:space="preserve"> odnosi se na Projekt Imaginarium a preostalo na os</w:t>
      </w:r>
      <w:r>
        <w:rPr>
          <w:rFonts w:ascii="Times New Roman" w:hAnsi="Times New Roman" w:cs="Times New Roman"/>
        </w:rPr>
        <w:t xml:space="preserve">tale vlastite prihode.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Viškom prihoda iz Projekta Imaginarium planiraju se platiti troškovi stručne prakse u inozemstvu za  nastavnike i učenike. Preostalim viškom planiraju se pokriti  rashodi za nabavu manje opreme, edukacije zaposlenika, najam autobusa za terensku nastavu, reprezentacija i ostale usluge.</w:t>
      </w:r>
    </w:p>
    <w:p>
      <w:pPr>
        <w:spacing w:after="0"/>
        <w:jc w:val="both"/>
        <w:rPr>
          <w:rFonts w:ascii="Times New Roman" w:hAnsi="Times New Roman" w:cs="Times New Roman"/>
        </w:rPr>
      </w:pPr>
    </w:p>
    <w:p>
      <w:pPr>
        <w:spacing w:after="0"/>
        <w:jc w:val="both"/>
        <w:rPr>
          <w:rFonts w:ascii="Times New Roman" w:hAnsi="Times New Roman" w:cs="Times New Roman"/>
        </w:rPr>
      </w:pPr>
    </w:p>
    <w:p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OBRAZLOŽENJE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POSEBNOG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DIJELA</w:t>
      </w:r>
    </w:p>
    <w:p>
      <w:pPr>
        <w:spacing w:after="0"/>
        <w:rPr>
          <w:rFonts w:ascii="Times New Roman" w:hAnsi="Times New Roman" w:cs="Times New Roman"/>
          <w:b/>
        </w:rPr>
      </w:pPr>
    </w:p>
    <w:p>
      <w:pPr>
        <w:spacing w:after="0"/>
        <w:rPr>
          <w:rFonts w:ascii="Times New Roman" w:hAnsi="Times New Roman" w:cs="Times New Roman"/>
          <w:b/>
        </w:rPr>
      </w:pPr>
    </w:p>
    <w:p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OBRAZLOŽENJE PROGRAMA 2204 SREDNJE ŠKOLSTVO-STANDARD</w:t>
      </w:r>
    </w:p>
    <w:p>
      <w:pPr>
        <w:spacing w:after="0"/>
        <w:jc w:val="both"/>
        <w:rPr>
          <w:rFonts w:ascii="Times New Roman" w:hAnsi="Times New Roman" w:cs="Times New Roman"/>
          <w:b/>
        </w:rPr>
      </w:pPr>
    </w:p>
    <w:p>
      <w:pPr>
        <w: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Aktivnost A2204-01 Djelatnost srednjih škola</w:t>
      </w:r>
    </w:p>
    <w:tbl>
      <w:tblPr>
        <w:tblW w:w="9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1369"/>
        <w:gridCol w:w="1539"/>
        <w:gridCol w:w="1628"/>
        <w:gridCol w:w="1788"/>
      </w:tblGrid>
      <w:tr>
        <w:trPr>
          <w:trHeight w:val="619" w:hRule="atLeast"/>
          <w:jc w:val="center"/>
        </w:trPr>
        <w:tc>
          <w:tcPr>
            <w:tcW w:type="dxa" w:w="169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type="dxa" w:w="14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hideMark/>
          </w:tcPr>
          <w:p>
            <w:pPr>
              <w:spacing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Plan 202</w:t>
            </w:r>
            <w:r>
              <w:rPr>
                <w:rFonts w:ascii="Times New Roman" w:hAnsi="Times New Roman" w:cs="Times New Roman"/>
                <w:sz w:val="22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</w:rPr>
              <w:t xml:space="preserve">.</w:t>
            </w:r>
          </w:p>
        </w:tc>
        <w:tc>
          <w:tcPr>
            <w:tcW w:type="dxa" w:w="136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hideMark/>
          </w:tcPr>
          <w:p>
            <w:pPr>
              <w:spacing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Plan 202</w:t>
            </w:r>
            <w:r>
              <w:rPr>
                <w:rFonts w:ascii="Times New Roman" w:hAnsi="Times New Roman" w:cs="Times New Roman"/>
                <w:sz w:val="22"/>
              </w:rPr>
              <w:t xml:space="preserve">6</w:t>
            </w:r>
            <w:r>
              <w:rPr>
                <w:rFonts w:ascii="Times New Roman" w:hAnsi="Times New Roman" w:cs="Times New Roman"/>
                <w:sz w:val="22"/>
              </w:rPr>
              <w:t xml:space="preserve">.</w:t>
            </w:r>
          </w:p>
        </w:tc>
        <w:tc>
          <w:tcPr>
            <w:tcW w:type="dxa" w:w="153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hideMark/>
          </w:tcPr>
          <w:p>
            <w:pPr>
              <w:spacing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Procjena 202</w:t>
            </w:r>
            <w:r>
              <w:rPr>
                <w:rFonts w:ascii="Times New Roman" w:hAnsi="Times New Roman" w:cs="Times New Roman"/>
                <w:sz w:val="22"/>
              </w:rPr>
              <w:t xml:space="preserve">7</w:t>
            </w:r>
            <w:r>
              <w:rPr>
                <w:rFonts w:ascii="Times New Roman" w:hAnsi="Times New Roman" w:cs="Times New Roman"/>
                <w:sz w:val="22"/>
              </w:rPr>
              <w:t xml:space="preserve">.</w:t>
            </w:r>
          </w:p>
        </w:tc>
        <w:tc>
          <w:tcPr>
            <w:tcW w:type="dxa" w:w="16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hideMark/>
          </w:tcPr>
          <w:p>
            <w:pPr>
              <w:spacing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Procjena 202</w:t>
            </w:r>
            <w:r>
              <w:rPr>
                <w:rFonts w:ascii="Times New Roman" w:hAnsi="Times New Roman" w:cs="Times New Roman"/>
                <w:sz w:val="22"/>
              </w:rPr>
              <w:t xml:space="preserve">8</w:t>
            </w:r>
            <w:r>
              <w:rPr>
                <w:rFonts w:ascii="Times New Roman" w:hAnsi="Times New Roman" w:cs="Times New Roman"/>
                <w:sz w:val="22"/>
              </w:rPr>
              <w:t xml:space="preserve">.</w:t>
            </w:r>
          </w:p>
        </w:tc>
        <w:tc>
          <w:tcPr>
            <w:tcW w:type="dxa" w:w="17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hideMark/>
          </w:tcPr>
          <w:p>
            <w:pPr>
              <w:spacing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Indeks 202</w:t>
            </w:r>
            <w:r>
              <w:rPr>
                <w:rFonts w:ascii="Times New Roman" w:hAnsi="Times New Roman" w:cs="Times New Roman"/>
                <w:sz w:val="22"/>
              </w:rPr>
              <w:t xml:space="preserve">6</w:t>
            </w:r>
            <w:r>
              <w:rPr>
                <w:rFonts w:ascii="Times New Roman" w:hAnsi="Times New Roman" w:cs="Times New Roman"/>
                <w:sz w:val="22"/>
              </w:rPr>
              <w:t xml:space="preserve">/202</w:t>
            </w:r>
            <w:r>
              <w:rPr>
                <w:rFonts w:ascii="Times New Roman" w:hAnsi="Times New Roman" w:cs="Times New Roman"/>
                <w:sz w:val="22"/>
              </w:rPr>
              <w:t xml:space="preserve">5</w:t>
            </w:r>
          </w:p>
        </w:tc>
      </w:tr>
      <w:tr>
        <w:trPr>
          <w:trHeight w:val="1226" w:hRule="atLeast"/>
          <w:jc w:val="center"/>
        </w:trPr>
        <w:tc>
          <w:tcPr>
            <w:tcW w:type="dxa" w:w="169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A2204-01</w:t>
            </w:r>
          </w:p>
          <w:p>
            <w:pPr>
              <w:spacing w:after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type="dxa" w:w="14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95.044,93</w:t>
            </w:r>
          </w:p>
        </w:tc>
        <w:tc>
          <w:tcPr>
            <w:tcW w:type="dxa" w:w="136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95.044,93</w:t>
            </w:r>
          </w:p>
        </w:tc>
        <w:tc>
          <w:tcPr>
            <w:tcW w:type="dxa" w:w="153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95.044,93</w:t>
            </w:r>
          </w:p>
        </w:tc>
        <w:tc>
          <w:tcPr>
            <w:tcW w:type="dxa" w:w="16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95.044,93</w:t>
            </w:r>
          </w:p>
        </w:tc>
        <w:tc>
          <w:tcPr>
            <w:tcW w:type="dxa" w:w="17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100,00</w:t>
            </w:r>
          </w:p>
        </w:tc>
      </w:tr>
    </w:tbl>
    <w:p>
      <w:pPr>
        <w:spacing w:after="0"/>
        <w:jc w:val="both"/>
        <w:rPr>
          <w:rFonts w:ascii="Times New Roman" w:hAnsi="Times New Roman" w:cs="Times New Roman"/>
          <w:b/>
        </w:rPr>
      </w:pPr>
    </w:p>
    <w:p>
      <w:pPr>
        <w: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Opis programa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Program Djelatnost srednjih škola financira se od strane Zadarske županije (izvor 45 - F.P. i dod. udio u por. na dohodak) koja određuje limite za navedeni program. Odobreni limit za 202</w:t>
      </w:r>
      <w:r>
        <w:rPr>
          <w:rFonts w:ascii="Times New Roman" w:hAnsi="Times New Roman" w:cs="Times New Roman"/>
        </w:rPr>
        <w:t xml:space="preserve">6</w:t>
      </w:r>
      <w:r>
        <w:rPr>
          <w:rFonts w:ascii="Times New Roman" w:hAnsi="Times New Roman" w:cs="Times New Roman"/>
        </w:rPr>
        <w:t xml:space="preserve">. godinu iznosi </w:t>
      </w:r>
      <w:r>
        <w:rPr>
          <w:rFonts w:ascii="Times New Roman" w:hAnsi="Times New Roman" w:cs="Times New Roman"/>
        </w:rPr>
        <w:t xml:space="preserve">95.044,93</w:t>
      </w:r>
      <w:r>
        <w:rPr>
          <w:rFonts w:ascii="Times New Roman" w:hAnsi="Times New Roman" w:cs="Times New Roman"/>
        </w:rPr>
        <w:t xml:space="preserve"> eura, te je isti za 202</w:t>
      </w:r>
      <w:r>
        <w:rPr>
          <w:rFonts w:ascii="Times New Roman" w:hAnsi="Times New Roman" w:cs="Times New Roman"/>
        </w:rPr>
        <w:t xml:space="preserve">7</w:t>
      </w:r>
      <w:r>
        <w:rPr>
          <w:rFonts w:ascii="Times New Roman" w:hAnsi="Times New Roman" w:cs="Times New Roman"/>
        </w:rPr>
        <w:t xml:space="preserve">. i 202</w:t>
      </w:r>
      <w:r>
        <w:rPr>
          <w:rFonts w:ascii="Times New Roman" w:hAnsi="Times New Roman" w:cs="Times New Roman"/>
        </w:rPr>
        <w:t xml:space="preserve">8</w:t>
      </w:r>
      <w:r>
        <w:rPr>
          <w:rFonts w:ascii="Times New Roman" w:hAnsi="Times New Roman" w:cs="Times New Roman"/>
        </w:rPr>
        <w:t xml:space="preserve">. godinu.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Programom se financiraju rashodi za materijal (uredski, nastavni, materijal za tekuće i investicijsko održavanje zgrade i školske opreme), energiju (el. energiju, plin, gorivo za grijanje) naknade troškova zaposlenih (prijevoz, službena putovanja, seminari, savjetovanja) te rashodi za usluge (usluge telefona, tekućeg i investicijskog održavanja zgrade i opreme, komunalne usluge, najmovi i zakupnine, zdravstveni pregledi zaposlenika, intelektualne usluge, računalne i ostale nespomenute usluge).</w:t>
      </w:r>
    </w:p>
    <w:p>
      <w:pPr>
        <w:spacing w:after="0"/>
        <w:rPr>
          <w:rFonts w:ascii="Times New Roman" w:hAnsi="Times New Roman" w:cs="Times New Roman"/>
        </w:rPr>
      </w:pPr>
    </w:p>
    <w:p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Zakonske i druge pravne osnove</w:t>
      </w:r>
    </w:p>
    <w:p>
      <w:pPr>
        <w:spacing w:after="0"/>
        <w:rPr>
          <w:rFonts w:ascii="Times New Roman" w:hAnsi="Times New Roman" w:cs="Times New Roman"/>
          <w:b/>
        </w:rPr>
      </w:pPr>
    </w:p>
    <w:p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Zakon o odgoju i obrazovanju u srednjoj školi,</w:t>
      </w:r>
    </w:p>
    <w:p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Zakon o proračunu, Pravilnik o proračunskim klasifikacijama, Pravilnik o proračunskom računovodstvu i računskom planu,</w:t>
      </w:r>
    </w:p>
    <w:p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Upute za izradu prijedloga proračuna i financijskih planova proračunskih korisnika JLP</w:t>
      </w:r>
    </w:p>
    <w:p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Godišnji plan i program rada škole,</w:t>
      </w:r>
    </w:p>
    <w:p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Temeljni kolektivni ugovor za zaposlenike u javnim službama.</w:t>
      </w:r>
    </w:p>
    <w:p>
      <w:pPr>
        <w:spacing w:after="0"/>
        <w:jc w:val="both"/>
        <w:rPr>
          <w:rFonts w:ascii="Times New Roman" w:hAnsi="Times New Roman" w:cs="Times New Roman"/>
        </w:rPr>
      </w:pPr>
    </w:p>
    <w:p>
      <w:pPr>
        <w:spacing w:after="0"/>
        <w:jc w:val="both"/>
        <w:rPr>
          <w:rFonts w:ascii="Times New Roman" w:hAnsi="Times New Roman" w:cs="Times New Roman"/>
          <w:b/>
        </w:rPr>
      </w:pPr>
    </w:p>
    <w:p>
      <w:pPr>
        <w: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Aktivnost A2204-07 Administracija i upravljanje</w:t>
      </w:r>
    </w:p>
    <w:tbl>
      <w:tblPr>
        <w:tblW w:w="9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626"/>
        <w:gridCol w:w="1411"/>
        <w:gridCol w:w="1440"/>
        <w:gridCol w:w="1616"/>
        <w:gridCol w:w="1612"/>
        <w:gridCol w:w="1733"/>
      </w:tblGrid>
      <w:tr>
        <w:trPr>
          <w:trHeight w:val="619" w:hRule="atLeast"/>
          <w:jc w:val="center"/>
        </w:trPr>
        <w:tc>
          <w:tcPr>
            <w:tcW w:type="dxa" w:w="169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type="dxa" w:w="14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hideMark/>
          </w:tcPr>
          <w:p>
            <w:pPr>
              <w:spacing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Plan 202</w:t>
            </w:r>
            <w:r>
              <w:rPr>
                <w:rFonts w:ascii="Times New Roman" w:hAnsi="Times New Roman" w:cs="Times New Roman"/>
                <w:sz w:val="22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</w:rPr>
              <w:t xml:space="preserve">.</w:t>
            </w:r>
          </w:p>
        </w:tc>
        <w:tc>
          <w:tcPr>
            <w:tcW w:type="dxa" w:w="127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hideMark/>
          </w:tcPr>
          <w:p>
            <w:pPr>
              <w:spacing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Plan 202</w:t>
            </w:r>
            <w:r>
              <w:rPr>
                <w:rFonts w:ascii="Times New Roman" w:hAnsi="Times New Roman" w:cs="Times New Roman"/>
                <w:sz w:val="22"/>
              </w:rPr>
              <w:t xml:space="preserve">6</w:t>
            </w:r>
            <w:r>
              <w:rPr>
                <w:rFonts w:ascii="Times New Roman" w:hAnsi="Times New Roman" w:cs="Times New Roman"/>
                <w:sz w:val="22"/>
              </w:rPr>
              <w:t xml:space="preserve">.</w:t>
            </w:r>
          </w:p>
        </w:tc>
        <w:tc>
          <w:tcPr>
            <w:tcW w:type="dxa" w:w="16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hideMark/>
          </w:tcPr>
          <w:p>
            <w:pPr>
              <w:spacing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Procjena 202</w:t>
            </w:r>
            <w:r>
              <w:rPr>
                <w:rFonts w:ascii="Times New Roman" w:hAnsi="Times New Roman" w:cs="Times New Roman"/>
                <w:sz w:val="22"/>
              </w:rPr>
              <w:t xml:space="preserve">7</w:t>
            </w:r>
            <w:r>
              <w:rPr>
                <w:rFonts w:ascii="Times New Roman" w:hAnsi="Times New Roman" w:cs="Times New Roman"/>
                <w:sz w:val="22"/>
              </w:rPr>
              <w:t xml:space="preserve">.</w:t>
            </w:r>
          </w:p>
        </w:tc>
        <w:tc>
          <w:tcPr>
            <w:tcW w:type="dxa" w:w="16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hideMark/>
          </w:tcPr>
          <w:p>
            <w:pPr>
              <w:spacing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Procjena 202</w:t>
            </w:r>
            <w:r>
              <w:rPr>
                <w:rFonts w:ascii="Times New Roman" w:hAnsi="Times New Roman" w:cs="Times New Roman"/>
                <w:sz w:val="22"/>
              </w:rPr>
              <w:t xml:space="preserve">8</w:t>
            </w:r>
            <w:r>
              <w:rPr>
                <w:rFonts w:ascii="Times New Roman" w:hAnsi="Times New Roman" w:cs="Times New Roman"/>
                <w:sz w:val="22"/>
              </w:rPr>
              <w:t xml:space="preserve">.</w:t>
            </w:r>
          </w:p>
        </w:tc>
        <w:tc>
          <w:tcPr>
            <w:tcW w:type="dxa" w:w="17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hideMark/>
          </w:tcPr>
          <w:p>
            <w:pPr>
              <w:spacing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Indeks 202</w:t>
            </w:r>
            <w:r>
              <w:rPr>
                <w:rFonts w:ascii="Times New Roman" w:hAnsi="Times New Roman" w:cs="Times New Roman"/>
                <w:sz w:val="22"/>
              </w:rPr>
              <w:t xml:space="preserve">6</w:t>
            </w:r>
            <w:r>
              <w:rPr>
                <w:rFonts w:ascii="Times New Roman" w:hAnsi="Times New Roman" w:cs="Times New Roman"/>
                <w:sz w:val="22"/>
              </w:rPr>
              <w:t xml:space="preserve">/202</w:t>
            </w:r>
            <w:r>
              <w:rPr>
                <w:rFonts w:ascii="Times New Roman" w:hAnsi="Times New Roman" w:cs="Times New Roman"/>
                <w:sz w:val="22"/>
              </w:rPr>
              <w:t xml:space="preserve">5</w:t>
            </w:r>
          </w:p>
        </w:tc>
      </w:tr>
      <w:tr>
        <w:trPr>
          <w:trHeight w:val="1226" w:hRule="atLeast"/>
          <w:jc w:val="center"/>
        </w:trPr>
        <w:tc>
          <w:tcPr>
            <w:tcW w:type="dxa" w:w="169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A2204-07 </w:t>
            </w:r>
          </w:p>
        </w:tc>
        <w:tc>
          <w:tcPr>
            <w:tcW w:type="dxa" w:w="14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1.143.656,00</w:t>
            </w:r>
          </w:p>
        </w:tc>
        <w:tc>
          <w:tcPr>
            <w:tcW w:type="dxa" w:w="127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1.314.656,00</w:t>
            </w:r>
          </w:p>
        </w:tc>
        <w:tc>
          <w:tcPr>
            <w:tcW w:type="dxa" w:w="16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1.334.375,84</w:t>
            </w:r>
          </w:p>
        </w:tc>
        <w:tc>
          <w:tcPr>
            <w:tcW w:type="dxa" w:w="16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1.354.391,48</w:t>
            </w:r>
          </w:p>
        </w:tc>
        <w:tc>
          <w:tcPr>
            <w:tcW w:type="dxa" w:w="17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114,95</w:t>
            </w:r>
          </w:p>
        </w:tc>
      </w:tr>
    </w:tbl>
    <w:p>
      <w:pPr>
        <w: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Opis programa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Programom Administracija i upravljanje planiraju se plaće i ostali troškovi zaposlenih (poput regresa, nagrada, pomoći) koji se financiraju iz državnog proračuna (izvor 51) od strane Ministarstva znanosti i obrazovanja.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Povećanje za 2026 s indeksom od 114,95 postoji radi povećanja osnovice plaće potkraj 2025. godine i povećanja satnice kod dijela zaposlenika zbog uvođenja još jednog razreda prirodoslovne gimnazije.</w:t>
      </w:r>
    </w:p>
    <w:p>
      <w:pPr>
        <w:spacing w:after="0"/>
        <w:rPr>
          <w:rFonts w:ascii="Times New Roman" w:hAnsi="Times New Roman" w:cs="Times New Roman"/>
        </w:rPr>
      </w:pPr>
    </w:p>
    <w:p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Zakonske i druge osnove</w:t>
      </w:r>
    </w:p>
    <w:p>
      <w:pPr>
        <w:spacing w:after="0"/>
        <w:rPr>
          <w:rFonts w:ascii="Times New Roman" w:hAnsi="Times New Roman" w:cs="Times New Roman"/>
          <w:b/>
        </w:rPr>
      </w:pPr>
    </w:p>
    <w:p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Zakon o odgoju i obrazovanju u srednjoj školi,</w:t>
      </w:r>
    </w:p>
    <w:p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Zakon o proračunu, Pravilnik o proračunskim klasifikacijama, Pravilnik o proračunskom računovodstvu i računskom planu,</w:t>
      </w:r>
    </w:p>
    <w:p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Upute za izradu prijedloga proračuna i financijskih planova proračunskih korisnika JLP,</w:t>
      </w:r>
    </w:p>
    <w:p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Temeljni kolektivni ugovor za zaposlenike u javnim službama.</w:t>
      </w:r>
    </w:p>
    <w:p>
      <w:pPr>
        <w:spacing w:after="0"/>
        <w:rPr>
          <w:rFonts w:ascii="Times New Roman" w:hAnsi="Times New Roman" w:cs="Times New Roman"/>
          <w:b/>
        </w:rPr>
      </w:pPr>
    </w:p>
    <w:p>
      <w:pPr>
        <w:spacing w:after="0"/>
        <w:rPr>
          <w:rFonts w:ascii="Times New Roman" w:hAnsi="Times New Roman" w:cs="Times New Roman"/>
          <w:b/>
        </w:rPr>
      </w:pPr>
    </w:p>
    <w:p>
      <w:pPr>
        <w:spacing w:after="0"/>
        <w:rPr>
          <w:rFonts w:ascii="Times New Roman" w:hAnsi="Times New Roman" w:cs="Times New Roman"/>
          <w:b/>
        </w:rPr>
      </w:pPr>
    </w:p>
    <w:p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OBRAZLOŽENJE PROGRAMA 2205 SREDNJE ŠKOLSTVO – IZNAD STANDARDA</w:t>
      </w:r>
    </w:p>
    <w:p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</w:rPr>
      </w:pPr>
    </w:p>
    <w:p>
      <w:pPr>
        <w: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Aktivnost A2205-12 Podizanje kvalitete i standarda u školstvu</w:t>
      </w:r>
    </w:p>
    <w:tbl>
      <w:tblPr>
        <w:tblW w:w="9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1369"/>
        <w:gridCol w:w="1539"/>
        <w:gridCol w:w="1628"/>
        <w:gridCol w:w="1788"/>
      </w:tblGrid>
      <w:tr>
        <w:trPr>
          <w:trHeight w:val="619" w:hRule="atLeast"/>
          <w:jc w:val="center"/>
        </w:trPr>
        <w:tc>
          <w:tcPr>
            <w:tcW w:type="dxa" w:w="169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type="dxa" w:w="14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hideMark/>
          </w:tcPr>
          <w:p>
            <w:pPr>
              <w:spacing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Plan 202</w:t>
            </w:r>
            <w:r>
              <w:rPr>
                <w:rFonts w:ascii="Times New Roman" w:hAnsi="Times New Roman" w:cs="Times New Roman"/>
                <w:sz w:val="22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</w:rPr>
              <w:t xml:space="preserve">.</w:t>
            </w:r>
          </w:p>
        </w:tc>
        <w:tc>
          <w:tcPr>
            <w:tcW w:type="dxa" w:w="136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hideMark/>
          </w:tcPr>
          <w:p>
            <w:pPr>
              <w:spacing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Plan 202</w:t>
            </w:r>
            <w:r>
              <w:rPr>
                <w:rFonts w:ascii="Times New Roman" w:hAnsi="Times New Roman" w:cs="Times New Roman"/>
                <w:sz w:val="22"/>
              </w:rPr>
              <w:t xml:space="preserve">6</w:t>
            </w:r>
            <w:r>
              <w:rPr>
                <w:rFonts w:ascii="Times New Roman" w:hAnsi="Times New Roman" w:cs="Times New Roman"/>
                <w:sz w:val="22"/>
              </w:rPr>
              <w:t xml:space="preserve">.</w:t>
            </w:r>
          </w:p>
        </w:tc>
        <w:tc>
          <w:tcPr>
            <w:tcW w:type="dxa" w:w="153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hideMark/>
          </w:tcPr>
          <w:p>
            <w:pPr>
              <w:spacing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Procjena 202</w:t>
            </w:r>
            <w:r>
              <w:rPr>
                <w:rFonts w:ascii="Times New Roman" w:hAnsi="Times New Roman" w:cs="Times New Roman"/>
                <w:sz w:val="22"/>
              </w:rPr>
              <w:t xml:space="preserve">7</w:t>
            </w:r>
            <w:r>
              <w:rPr>
                <w:rFonts w:ascii="Times New Roman" w:hAnsi="Times New Roman" w:cs="Times New Roman"/>
                <w:sz w:val="22"/>
              </w:rPr>
              <w:t xml:space="preserve">.</w:t>
            </w:r>
          </w:p>
        </w:tc>
        <w:tc>
          <w:tcPr>
            <w:tcW w:type="dxa" w:w="16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hideMark/>
          </w:tcPr>
          <w:p>
            <w:pPr>
              <w:spacing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Procjena 202</w:t>
            </w:r>
            <w:r>
              <w:rPr>
                <w:rFonts w:ascii="Times New Roman" w:hAnsi="Times New Roman" w:cs="Times New Roman"/>
                <w:sz w:val="22"/>
              </w:rPr>
              <w:t xml:space="preserve">8</w:t>
            </w:r>
            <w:r>
              <w:rPr>
                <w:rFonts w:ascii="Times New Roman" w:hAnsi="Times New Roman" w:cs="Times New Roman"/>
                <w:sz w:val="22"/>
              </w:rPr>
              <w:t xml:space="preserve">.</w:t>
            </w:r>
          </w:p>
        </w:tc>
        <w:tc>
          <w:tcPr>
            <w:tcW w:type="dxa" w:w="17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hideMark/>
          </w:tcPr>
          <w:p>
            <w:pPr>
              <w:spacing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Indeks 202</w:t>
            </w:r>
            <w:r>
              <w:rPr>
                <w:rFonts w:ascii="Times New Roman" w:hAnsi="Times New Roman" w:cs="Times New Roman"/>
                <w:sz w:val="22"/>
              </w:rPr>
              <w:t xml:space="preserve">6</w:t>
            </w:r>
            <w:r>
              <w:rPr>
                <w:rFonts w:ascii="Times New Roman" w:hAnsi="Times New Roman" w:cs="Times New Roman"/>
                <w:sz w:val="22"/>
              </w:rPr>
              <w:t xml:space="preserve">/202</w:t>
            </w:r>
            <w:r>
              <w:rPr>
                <w:rFonts w:ascii="Times New Roman" w:hAnsi="Times New Roman" w:cs="Times New Roman"/>
                <w:sz w:val="22"/>
              </w:rPr>
              <w:t xml:space="preserve">5</w:t>
            </w:r>
          </w:p>
        </w:tc>
      </w:tr>
      <w:tr>
        <w:trPr>
          <w:trHeight w:val="1226" w:hRule="atLeast"/>
          <w:jc w:val="center"/>
        </w:trPr>
        <w:tc>
          <w:tcPr>
            <w:tcW w:type="dxa" w:w="169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A2205-12 </w:t>
            </w:r>
          </w:p>
        </w:tc>
        <w:tc>
          <w:tcPr>
            <w:tcW w:type="dxa" w:w="14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49.030,56</w:t>
            </w:r>
          </w:p>
        </w:tc>
        <w:tc>
          <w:tcPr>
            <w:tcW w:type="dxa" w:w="136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46.866,00</w:t>
            </w:r>
          </w:p>
        </w:tc>
        <w:tc>
          <w:tcPr>
            <w:tcW w:type="dxa" w:w="153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47.568,99</w:t>
            </w:r>
          </w:p>
        </w:tc>
        <w:tc>
          <w:tcPr>
            <w:tcW w:type="dxa" w:w="16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48.282,51</w:t>
            </w:r>
          </w:p>
        </w:tc>
        <w:tc>
          <w:tcPr>
            <w:tcW w:type="dxa" w:w="17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95,58</w:t>
            </w:r>
          </w:p>
        </w:tc>
      </w:tr>
    </w:tbl>
    <w:p>
      <w:pPr>
        <w:spacing/>
        <w:rPr>
          <w:rFonts w:ascii="Times New Roman" w:hAnsi="Times New Roman" w:cs="Times New Roman"/>
          <w:b/>
        </w:rPr>
      </w:pPr>
    </w:p>
    <w:p>
      <w:pPr>
        <w: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Opis programa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Program Podizanje kvalitete i standarda u školstvu uključuje planiranje financiranja vlastitim prihodima (izvor 31), prihodima za posebne namjene (izvor 41), donacijama (izvor 61) te prihodima iz državnog proračuna (izvor 51) i korištenje viška prihoda (izvor 42).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Planira se ostvarenje vlastitih prihoda od najma prostora i prodaje vlastitih proizvoda i usluga u iznosu od 5.850,00 eura za 202</w:t>
      </w:r>
      <w:r>
        <w:rPr>
          <w:rFonts w:ascii="Times New Roman" w:hAnsi="Times New Roman" w:cs="Times New Roman"/>
        </w:rPr>
        <w:t xml:space="preserve">6. koji će se koristiti za podmirenje rashoda nastalih obavljanjem navedenih poslova. Preostali iznos rasporedit će se za edukaciju zaposlenika putem odlazaka na seminare i predavanja radi unapređenja nastave te podizanje kvalitete i standarda škole manjim ulaganjima u računala, računalnu opremu i ostalu uredsku opremu.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2026. godini planiraju se prihodi od Ministarstva znanosti, obrazovanja i mladih za plaćanje taksi prijevoza učenicima sa posebnim potrebama u iznosu od 33.000,00 eura što </w:t>
      </w:r>
      <w:r>
        <w:rPr>
          <w:rFonts w:ascii="Times New Roman" w:hAnsi="Times New Roman" w:cs="Times New Roman"/>
        </w:rPr>
        <w:t xml:space="preserve">nije bilo sadržano u planu za 2025. godinu. Troškovi za sudske pristojbe ne planiraju se u 2026. godini budući</w:t>
      </w:r>
      <w:r>
        <w:rPr>
          <w:rFonts w:ascii="Times New Roman" w:hAnsi="Times New Roman" w:cs="Times New Roman"/>
        </w:rPr>
        <w:t xml:space="preserve"> da su sve obveze podmirene.</w:t>
      </w:r>
    </w:p>
    <w:p>
      <w:pPr>
        <w:spacing w:after="0"/>
        <w:rPr>
          <w:rFonts w:ascii="Times New Roman" w:hAnsi="Times New Roman" w:cs="Times New Roman"/>
          <w:b/>
        </w:rPr>
      </w:pPr>
    </w:p>
    <w:p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Zakonske i druge pravne osnove</w:t>
      </w:r>
    </w:p>
    <w:p>
      <w:pPr>
        <w:spacing w:after="0"/>
        <w:rPr>
          <w:rFonts w:ascii="Times New Roman" w:hAnsi="Times New Roman" w:cs="Times New Roman"/>
          <w:b/>
        </w:rPr>
      </w:pPr>
    </w:p>
    <w:p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Zakon o odgoju i obrazovanju u srednjoj školi,</w:t>
      </w:r>
    </w:p>
    <w:p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Zakon o proračunu, Pravilnik o proračunskim klasifikacijama, Pravilnik o proračunskom računovodstvu i računskom planu,</w:t>
      </w:r>
    </w:p>
    <w:p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Upute za izradu prijedloga proračuna i financijskih planova proračunskih korisnika JLP</w:t>
      </w:r>
    </w:p>
    <w:p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Godišnji plan i program rada škole,</w:t>
      </w:r>
    </w:p>
    <w:p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Temeljni kolektivni ugovor za zaposlenike u javnim službama.</w:t>
      </w:r>
    </w:p>
    <w:p>
      <w:pPr>
        <w:spacing w:after="0"/>
        <w:jc w:val="both"/>
        <w:rPr>
          <w:rFonts w:ascii="Times New Roman" w:hAnsi="Times New Roman" w:cs="Times New Roman"/>
          <w:b/>
        </w:rPr>
      </w:pPr>
    </w:p>
    <w:p>
      <w:pPr>
        <w:spacing w:after="0"/>
        <w:rPr>
          <w:rFonts w:ascii="Times New Roman" w:hAnsi="Times New Roman" w:cs="Times New Roman"/>
          <w:b/>
        </w:rPr>
      </w:pPr>
    </w:p>
    <w:p>
      <w:pPr>
        <w:spacing w:after="0"/>
        <w:rPr>
          <w:rFonts w:ascii="Times New Roman" w:hAnsi="Times New Roman" w:cs="Times New Roman"/>
          <w:b/>
        </w:rPr>
      </w:pPr>
    </w:p>
    <w:p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OBRAZLOŽENJE PROGRAMA 4306 NACIONALNI EU PROJEKTI</w:t>
      </w:r>
    </w:p>
    <w:p>
      <w:pPr>
        <w:spacing w:after="0"/>
        <w:jc w:val="both"/>
        <w:rPr>
          <w:rFonts w:ascii="Times New Roman" w:hAnsi="Times New Roman" w:cs="Times New Roman"/>
          <w:b/>
        </w:rPr>
      </w:pPr>
    </w:p>
    <w:p>
      <w:pPr>
        <w: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Projekt T4306-03 Inkluzija – korak bliže društvu bez prepreka</w:t>
      </w:r>
    </w:p>
    <w:tbl>
      <w:tblPr>
        <w:tblW w:w="9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1369"/>
        <w:gridCol w:w="1539"/>
        <w:gridCol w:w="1628"/>
        <w:gridCol w:w="1788"/>
      </w:tblGrid>
      <w:tr>
        <w:trPr>
          <w:trHeight w:val="619" w:hRule="atLeast"/>
          <w:jc w:val="center"/>
        </w:trPr>
        <w:tc>
          <w:tcPr>
            <w:tcW w:type="dxa" w:w="169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type="dxa" w:w="14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hideMark/>
          </w:tcPr>
          <w:p>
            <w:pPr>
              <w:spacing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Plan 202</w:t>
            </w:r>
            <w:r>
              <w:rPr>
                <w:rFonts w:ascii="Times New Roman" w:hAnsi="Times New Roman" w:cs="Times New Roman"/>
                <w:sz w:val="22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</w:rPr>
              <w:t xml:space="preserve">.</w:t>
            </w:r>
          </w:p>
        </w:tc>
        <w:tc>
          <w:tcPr>
            <w:tcW w:type="dxa" w:w="136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hideMark/>
          </w:tcPr>
          <w:p>
            <w:pPr>
              <w:spacing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Plan 202</w:t>
            </w:r>
            <w:r>
              <w:rPr>
                <w:rFonts w:ascii="Times New Roman" w:hAnsi="Times New Roman" w:cs="Times New Roman"/>
                <w:sz w:val="22"/>
              </w:rPr>
              <w:t xml:space="preserve">6</w:t>
            </w:r>
            <w:r>
              <w:rPr>
                <w:rFonts w:ascii="Times New Roman" w:hAnsi="Times New Roman" w:cs="Times New Roman"/>
                <w:sz w:val="22"/>
              </w:rPr>
              <w:t xml:space="preserve">.</w:t>
            </w:r>
          </w:p>
        </w:tc>
        <w:tc>
          <w:tcPr>
            <w:tcW w:type="dxa" w:w="153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hideMark/>
          </w:tcPr>
          <w:p>
            <w:pPr>
              <w:spacing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Procjena 202</w:t>
            </w:r>
            <w:r>
              <w:rPr>
                <w:rFonts w:ascii="Times New Roman" w:hAnsi="Times New Roman" w:cs="Times New Roman"/>
                <w:sz w:val="22"/>
              </w:rPr>
              <w:t xml:space="preserve">7</w:t>
            </w:r>
            <w:r>
              <w:rPr>
                <w:rFonts w:ascii="Times New Roman" w:hAnsi="Times New Roman" w:cs="Times New Roman"/>
                <w:sz w:val="22"/>
              </w:rPr>
              <w:t xml:space="preserve">.</w:t>
            </w:r>
          </w:p>
        </w:tc>
        <w:tc>
          <w:tcPr>
            <w:tcW w:type="dxa" w:w="16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hideMark/>
          </w:tcPr>
          <w:p>
            <w:pPr>
              <w:spacing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Procjena 202</w:t>
            </w:r>
            <w:r>
              <w:rPr>
                <w:rFonts w:ascii="Times New Roman" w:hAnsi="Times New Roman" w:cs="Times New Roman"/>
                <w:sz w:val="22"/>
              </w:rPr>
              <w:t xml:space="preserve">8</w:t>
            </w:r>
            <w:r>
              <w:rPr>
                <w:rFonts w:ascii="Times New Roman" w:hAnsi="Times New Roman" w:cs="Times New Roman"/>
                <w:sz w:val="22"/>
              </w:rPr>
              <w:t xml:space="preserve">.</w:t>
            </w:r>
          </w:p>
        </w:tc>
        <w:tc>
          <w:tcPr>
            <w:tcW w:type="dxa" w:w="17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hideMark/>
          </w:tcPr>
          <w:p>
            <w:pPr>
              <w:spacing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Indeks 202</w:t>
            </w:r>
            <w:r>
              <w:rPr>
                <w:rFonts w:ascii="Times New Roman" w:hAnsi="Times New Roman" w:cs="Times New Roman"/>
                <w:sz w:val="22"/>
              </w:rPr>
              <w:t xml:space="preserve">6</w:t>
            </w:r>
            <w:r>
              <w:rPr>
                <w:rFonts w:ascii="Times New Roman" w:hAnsi="Times New Roman" w:cs="Times New Roman"/>
                <w:sz w:val="22"/>
              </w:rPr>
              <w:t xml:space="preserve">/202</w:t>
            </w:r>
            <w:r>
              <w:rPr>
                <w:rFonts w:ascii="Times New Roman" w:hAnsi="Times New Roman" w:cs="Times New Roman"/>
                <w:sz w:val="22"/>
              </w:rPr>
              <w:t xml:space="preserve">5</w:t>
            </w:r>
          </w:p>
        </w:tc>
      </w:tr>
      <w:tr>
        <w:trPr>
          <w:trHeight w:val="1226" w:hRule="atLeast"/>
          <w:jc w:val="center"/>
        </w:trPr>
        <w:tc>
          <w:tcPr>
            <w:tcW w:type="dxa" w:w="169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T4306-03 </w:t>
            </w:r>
          </w:p>
        </w:tc>
        <w:tc>
          <w:tcPr>
            <w:tcW w:type="dxa" w:w="14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16.877,84</w:t>
            </w:r>
          </w:p>
        </w:tc>
        <w:tc>
          <w:tcPr>
            <w:tcW w:type="dxa" w:w="136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17.577,84</w:t>
            </w:r>
          </w:p>
        </w:tc>
        <w:tc>
          <w:tcPr>
            <w:tcW w:type="dxa" w:w="153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17.823,84</w:t>
            </w:r>
          </w:p>
        </w:tc>
        <w:tc>
          <w:tcPr>
            <w:tcW w:type="dxa" w:w="16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18.073,53</w:t>
            </w:r>
          </w:p>
        </w:tc>
        <w:tc>
          <w:tcPr>
            <w:tcW w:type="dxa" w:w="17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104,14</w:t>
            </w:r>
          </w:p>
        </w:tc>
      </w:tr>
    </w:tbl>
    <w:p>
      <w:pPr>
        <w:spacing w:after="0"/>
        <w:jc w:val="both"/>
        <w:rPr>
          <w:rFonts w:ascii="Times New Roman" w:hAnsi="Times New Roman" w:cs="Times New Roman"/>
          <w:b/>
        </w:rPr>
      </w:pPr>
    </w:p>
    <w:p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U 2026. godini škola planira troškove za plaću za jednog pomoćnika u nastavi.</w:t>
      </w:r>
    </w:p>
    <w:p>
      <w:pPr>
        <w:spacing w:after="0"/>
        <w:jc w:val="both"/>
        <w:rPr>
          <w:rFonts w:ascii="Times New Roman" w:hAnsi="Times New Roman" w:cs="Times New Roman"/>
          <w:bCs/>
        </w:rPr>
      </w:pPr>
    </w:p>
    <w:p>
      <w:pPr>
        <w: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Opis projekta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Projektom Inkluzija korak bliže društvu bez prepreka iz sredstava europskog socijalnog fonda i dijelom sredstvima županije financiraju se plaće za pomoćnike u nastavi. </w:t>
      </w:r>
    </w:p>
    <w:p>
      <w:pPr>
        <w:spacing w:after="0"/>
        <w:jc w:val="both"/>
        <w:rPr>
          <w:rFonts w:ascii="Times New Roman" w:hAnsi="Times New Roman" w:cs="Times New Roman"/>
        </w:rPr>
      </w:pPr>
    </w:p>
    <w:p>
      <w:pPr>
        <w: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Svrha provedbe projekta</w:t>
      </w:r>
    </w:p>
    <w:p>
      <w:pPr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 Inkluzija korak bliže društvu bez prepreka omogućuje socijalnu uključenost i integraciju učenika s teškoćama u razvoju u redoviti obrazovni sustav.</w:t>
      </w:r>
    </w:p>
    <w:p>
      <w:pPr>
        <w:spacing w:after="0"/>
        <w:jc w:val="both"/>
        <w:rPr>
          <w:rFonts w:ascii="Times New Roman" w:hAnsi="Times New Roman" w:cs="Times New Roman"/>
        </w:rPr>
      </w:pPr>
    </w:p>
    <w:p>
      <w:pPr>
        <w: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Ključne aktivnosti</w:t>
      </w:r>
    </w:p>
    <w:p>
      <w:pPr>
        <w: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Neposrednim radom pomoćnika s učenicima s teškoćama u razvoju omogućit će se postizanje boljih obrazovnih rezultata i uspješnija socijalizacija učenika, a stjecanjem vještina i stručnih kompetencija pomoćnika, osigurat će se njihovo bolje pozicioniranje na tržištu rada.</w:t>
      </w:r>
    </w:p>
    <w:p>
      <w:pPr>
        <w:spacing/>
        <w:jc w:val="both"/>
        <w:rPr>
          <w:rFonts w:ascii="Times New Roman" w:hAnsi="Times New Roman" w:cs="Times New Roman"/>
        </w:rPr>
      </w:pPr>
    </w:p>
    <w:p>
      <w:pPr>
        <w: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OBRAZLOŽENJE PROGRAMA 4307 MEĐUNARODNI EU PROJEKTI</w:t>
      </w:r>
    </w:p>
    <w:p>
      <w:pPr>
        <w:spacing/>
        <w:jc w:val="both"/>
        <w:rPr>
          <w:rFonts w:ascii="Times New Roman" w:hAnsi="Times New Roman" w:cs="Times New Roman"/>
          <w:b/>
        </w:rPr>
      </w:pPr>
    </w:p>
    <w:p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bCs/>
          <w:color w:val="000000"/>
          <w:szCs w:val="24"/>
          <w:lang w:eastAsia="hr-HR"/>
        </w:rPr>
        <w:t xml:space="preserve">T4307-53 Projekt Erasmus+2024-1-KA122 Link up PGŠ</w:t>
      </w:r>
    </w:p>
    <w:p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1"/>
          <w:szCs w:val="21"/>
          <w:lang w:eastAsia="hr-HR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1"/>
          <w:szCs w:val="21"/>
          <w:lang w:eastAsia="hr-HR"/>
        </w:rPr>
        <w:t xml:space="preserve">4307 Međunarodni EU Projekti</w:t>
      </w:r>
    </w:p>
    <w:tbl>
      <w:tblPr>
        <w:tblW w:w="9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1369"/>
        <w:gridCol w:w="1539"/>
        <w:gridCol w:w="1628"/>
        <w:gridCol w:w="1788"/>
      </w:tblGrid>
      <w:tr>
        <w:trPr>
          <w:trHeight w:val="619" w:hRule="atLeast"/>
          <w:jc w:val="center"/>
        </w:trPr>
        <w:tc>
          <w:tcPr>
            <w:tcW w:type="dxa" w:w="169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type="dxa" w:w="14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hideMark/>
          </w:tcPr>
          <w:p>
            <w:pPr>
              <w:spacing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Plan 2025.</w:t>
            </w:r>
          </w:p>
        </w:tc>
        <w:tc>
          <w:tcPr>
            <w:tcW w:type="dxa" w:w="136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hideMark/>
          </w:tcPr>
          <w:p>
            <w:pPr>
              <w:spacing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Plan 2026.</w:t>
            </w:r>
          </w:p>
        </w:tc>
        <w:tc>
          <w:tcPr>
            <w:tcW w:type="dxa" w:w="153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hideMark/>
          </w:tcPr>
          <w:p>
            <w:pPr>
              <w:spacing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Procjena 2027.</w:t>
            </w:r>
          </w:p>
        </w:tc>
        <w:tc>
          <w:tcPr>
            <w:tcW w:type="dxa" w:w="16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hideMark/>
          </w:tcPr>
          <w:p>
            <w:pPr>
              <w:spacing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Procjena 2028.</w:t>
            </w:r>
          </w:p>
        </w:tc>
        <w:tc>
          <w:tcPr>
            <w:tcW w:type="dxa" w:w="17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hideMark/>
          </w:tcPr>
          <w:p>
            <w:pPr>
              <w:spacing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Indeks 2026/2025</w:t>
            </w:r>
          </w:p>
        </w:tc>
      </w:tr>
      <w:tr>
        <w:trPr>
          <w:trHeight w:val="1226" w:hRule="atLeast"/>
          <w:jc w:val="center"/>
        </w:trPr>
        <w:tc>
          <w:tcPr>
            <w:tcW w:type="dxa" w:w="169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T4307-53</w:t>
            </w:r>
          </w:p>
        </w:tc>
        <w:tc>
          <w:tcPr>
            <w:tcW w:type="dxa" w:w="14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65.946,00</w:t>
            </w:r>
          </w:p>
        </w:tc>
        <w:tc>
          <w:tcPr>
            <w:tcW w:type="dxa" w:w="136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14.764,60</w:t>
            </w:r>
          </w:p>
        </w:tc>
        <w:tc>
          <w:tcPr>
            <w:tcW w:type="dxa" w:w="153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0,00</w:t>
            </w:r>
          </w:p>
        </w:tc>
        <w:tc>
          <w:tcPr>
            <w:tcW w:type="dxa" w:w="16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0,00</w:t>
            </w:r>
          </w:p>
        </w:tc>
        <w:tc>
          <w:tcPr>
            <w:tcW w:type="dxa" w:w="17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22,38</w:t>
            </w:r>
          </w:p>
        </w:tc>
      </w:tr>
    </w:tbl>
    <w:p>
      <w:pPr>
        <w:spacing/>
        <w:jc w:val="both"/>
        <w:rPr>
          <w:rFonts w:ascii="Times New Roman" w:hAnsi="Times New Roman" w:cs="Times New Roman"/>
          <w:b/>
          <w:bCs/>
        </w:rPr>
      </w:pPr>
    </w:p>
    <w:p>
      <w:pPr>
        <w: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Pro</w:t>
      </w:r>
      <w:r>
        <w:rPr>
          <w:rFonts w:ascii="Times New Roman" w:hAnsi="Times New Roman" w:cs="Times New Roman"/>
          <w:bCs/>
        </w:rPr>
        <w:t xml:space="preserve">vedba Projekta LinkUp je završila tijekom 2025. godine te se završna isplata očekuje početkom 2026. godine</w:t>
      </w:r>
      <w:r>
        <w:rPr>
          <w:rFonts w:ascii="Times New Roman" w:hAnsi="Times New Roman" w:cs="Times New Roman"/>
          <w:bCs/>
        </w:rPr>
        <w:t xml:space="preserve"> u iznosu od 14.764,60 eura.</w:t>
      </w:r>
    </w:p>
    <w:p>
      <w:pPr>
        <w: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Opis projekta</w:t>
      </w:r>
    </w:p>
    <w:p>
      <w:pPr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projekt je </w:t>
      </w:r>
      <w:r>
        <w:rPr>
          <w:rFonts w:ascii="Times New Roman" w:hAnsi="Times New Roman" w:cs="Times New Roman"/>
        </w:rPr>
        <w:t xml:space="preserve">bilo </w:t>
      </w:r>
      <w:r>
        <w:rPr>
          <w:rFonts w:ascii="Times New Roman" w:hAnsi="Times New Roman" w:cs="Times New Roman"/>
        </w:rPr>
        <w:t xml:space="preserve">uključeno svih 5 obrazovnih programa škole u 2 programa mobilnosti, kako slijedi: kemijski i ekološki tehničar u program “Analysis of Waste Watter and Polluting Gasses”, grafički urednik dizajner, web dizajner i medijski tehničar u program “E-commerce”. Program tečajeva i program edukacije uključenog stručnog eksperta su odabrani zbog mogućnosti široke primjene u svim nastavnim programima škole.</w:t>
      </w:r>
    </w:p>
    <w:p>
      <w:pPr>
        <w: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Svrha provedbe projekta</w:t>
      </w:r>
    </w:p>
    <w:p>
      <w:pPr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Nastavnici i učenici ovim projektom ostvar</w:t>
      </w:r>
      <w:r>
        <w:rPr>
          <w:rFonts w:ascii="Times New Roman" w:hAnsi="Times New Roman" w:cs="Times New Roman"/>
        </w:rPr>
        <w:t xml:space="preserve">ili su</w:t>
      </w:r>
      <w:r>
        <w:rPr>
          <w:rFonts w:ascii="Times New Roman" w:hAnsi="Times New Roman" w:cs="Times New Roman"/>
        </w:rPr>
        <w:t xml:space="preserve"> suradnju sa uspješnim tvrtkama partnerima Erasmus programa, unaprije</w:t>
      </w:r>
      <w:r>
        <w:rPr>
          <w:rFonts w:ascii="Times New Roman" w:hAnsi="Times New Roman" w:cs="Times New Roman"/>
        </w:rPr>
        <w:t xml:space="preserve">dili</w:t>
      </w:r>
      <w:r>
        <w:rPr>
          <w:rFonts w:ascii="Times New Roman" w:hAnsi="Times New Roman" w:cs="Times New Roman"/>
        </w:rPr>
        <w:t xml:space="preserve">  svoja znanja i vještine iz područja teoretskih znanja i njihove praktične primjene kroz konkretan rad na analizi vode i zraka te iz područja e-marketinga i web tehnologija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3d dizajna, produkcije podcasta, permakulture </w:t>
      </w:r>
      <w:r>
        <w:rPr>
          <w:rFonts w:ascii="Times New Roman" w:hAnsi="Times New Roman" w:cs="Times New Roman"/>
        </w:rPr>
        <w:t xml:space="preserve">s naglaskom na</w:t>
      </w:r>
      <w:r>
        <w:rPr>
          <w:rFonts w:ascii="Times New Roman" w:hAnsi="Times New Roman" w:cs="Times New Roman"/>
        </w:rPr>
        <w:t xml:space="preserve"> senzibilizacij</w:t>
      </w:r>
      <w:r>
        <w:rPr>
          <w:rFonts w:ascii="Times New Roman" w:hAnsi="Times New Roman" w:cs="Times New Roman"/>
        </w:rPr>
        <w:t xml:space="preserve">u</w:t>
      </w:r>
      <w:r>
        <w:rPr>
          <w:rFonts w:ascii="Times New Roman" w:hAnsi="Times New Roman" w:cs="Times New Roman"/>
        </w:rPr>
        <w:t xml:space="preserve">  važnost</w:t>
      </w:r>
      <w:r>
        <w:rPr>
          <w:rFonts w:ascii="Times New Roman" w:hAnsi="Times New Roman" w:cs="Times New Roman"/>
        </w:rPr>
        <w:t xml:space="preserve">i</w:t>
      </w:r>
      <w:r>
        <w:rPr>
          <w:rFonts w:ascii="Times New Roman" w:hAnsi="Times New Roman" w:cs="Times New Roman"/>
        </w:rPr>
        <w:t xml:space="preserve"> održivog razvoja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 Upoznavanje modernih tehnologija i metodologija rada u struci pot</w:t>
      </w:r>
      <w:r>
        <w:rPr>
          <w:rFonts w:ascii="Times New Roman" w:hAnsi="Times New Roman" w:cs="Times New Roman"/>
        </w:rPr>
        <w:t xml:space="preserve">aknulo je</w:t>
      </w:r>
      <w:r>
        <w:rPr>
          <w:rFonts w:ascii="Times New Roman" w:hAnsi="Times New Roman" w:cs="Times New Roman"/>
        </w:rPr>
        <w:t xml:space="preserve"> polaznike treninga na osobni, profesionalni razvoj, cjeloživotno učenje te dijeljenje svojih iskustava s drugim dionicima po povratku s mobilnosti.</w:t>
      </w:r>
    </w:p>
    <w:p>
      <w:pPr>
        <w: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Ključne aktivnosti</w:t>
      </w:r>
    </w:p>
    <w:p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1. </w:t>
      </w:r>
      <w:r>
        <w:rPr>
          <w:rFonts w:ascii="Times New Roman" w:hAnsi="Times New Roman" w:cs="Times New Roman"/>
          <w:i/>
        </w:rPr>
        <w:t xml:space="preserve">Mobilnost učenika:</w:t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 GRUPA: E-Commerce: 12 sudionika/2 tjedna - Malaga, Španjolska (realizirano 3/4 mjesec 2025.)</w:t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 GRUPA: Analysis of Waste Water and Polluting Gases: 12 sudionika/2 tjedna - Sevilla, Španjolska. (realizirano 2/3 mjesec 2025.)</w:t>
      </w:r>
    </w:p>
    <w:p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2. </w:t>
      </w:r>
      <w:r>
        <w:rPr>
          <w:rFonts w:ascii="Times New Roman" w:hAnsi="Times New Roman" w:cs="Times New Roman"/>
          <w:i/>
        </w:rPr>
        <w:t xml:space="preserve">Tečajevi za nastavnike:</w:t>
      </w:r>
    </w:p>
    <w:p>
      <w:pPr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Nastavnici strukovnih predmeta u sektorima grafičke tehnologije i audiovizualnih tehnologija te kemijske </w:t>
      </w:r>
      <w:r>
        <w:rPr>
          <w:rFonts w:ascii="Times New Roman" w:hAnsi="Times New Roman" w:cs="Times New Roman"/>
        </w:rPr>
        <w:t xml:space="preserve">tehnologije</w:t>
      </w:r>
      <w:r>
        <w:rPr>
          <w:rFonts w:ascii="Times New Roman" w:hAnsi="Times New Roman" w:cs="Times New Roman"/>
        </w:rPr>
        <w:t xml:space="preserve"> sudjelov</w:t>
      </w:r>
      <w:r>
        <w:rPr>
          <w:rFonts w:ascii="Times New Roman" w:hAnsi="Times New Roman" w:cs="Times New Roman"/>
        </w:rPr>
        <w:t xml:space="preserve">ali su </w:t>
      </w:r>
      <w:r>
        <w:rPr>
          <w:rFonts w:ascii="Times New Roman" w:hAnsi="Times New Roman" w:cs="Times New Roman"/>
        </w:rPr>
        <w:t xml:space="preserve"> na strukturiranim tečajevima koje </w:t>
      </w:r>
      <w:r>
        <w:rPr>
          <w:rFonts w:ascii="Times New Roman" w:hAnsi="Times New Roman" w:cs="Times New Roman"/>
        </w:rPr>
        <w:t xml:space="preserve">su održali</w:t>
      </w:r>
      <w:r>
        <w:rPr>
          <w:rFonts w:ascii="Times New Roman" w:hAnsi="Times New Roman" w:cs="Times New Roman"/>
        </w:rPr>
        <w:t xml:space="preserve"> kvalificirani stručnjaci, a koji se temelje na unaprijed definiranim programima učenja i </w:t>
      </w:r>
      <w:r>
        <w:rPr>
          <w:rFonts w:ascii="Times New Roman" w:hAnsi="Times New Roman" w:cs="Times New Roman"/>
        </w:rPr>
        <w:t xml:space="preserve">ishodima učenja. Tečajevi su organizirani u zemljama članicama EU u trajanju od jednog tjedna (6 radnih dana).</w:t>
      </w:r>
    </w:p>
    <w:p>
      <w:pPr>
        <w: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Pokazatelj rezultata</w:t>
      </w:r>
    </w:p>
    <w:tbl>
      <w:tblPr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fill="FFFFFF" w:val="clea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3"/>
        <w:gridCol w:w="1582"/>
        <w:gridCol w:w="1580"/>
        <w:gridCol w:w="1438"/>
        <w:gridCol w:w="1381"/>
      </w:tblGrid>
      <w:tr>
        <w:trPr>
          <w:trHeight w:val="216" w:hRule="atLeast"/>
        </w:trPr>
        <w:tc>
          <w:tcPr>
            <w:tcW w:type="pct" w:w="172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fill="D9D9D9" w:color="auto" w:val="clear"/>
            <w:tcMar>
              <w:top w:w="0" w:type="dxa"/>
              <w:left w:w="108" w:type="dxa"/>
              <w:bottom w:w="0" w:type="dxa"/>
              <w:right w:w="108" w:type="dxa"/>
            </w:tcMar>
            <w:hideMark/>
            <w:vAlign w:val="center"/>
          </w:tcPr>
          <w:p>
            <w:pPr>
              <w:spacing w:before="100" w:beforeAutospacing="1" w:after="100" w:afterAutospacing="1" w:line="225" w:lineRule="atLeast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hr-HR"/>
              </w:rPr>
              <w:t xml:space="preserve">Pokazatelj rezultata (naziv pokazatelja)</w:t>
            </w:r>
          </w:p>
        </w:tc>
        <w:tc>
          <w:tcPr>
            <w:tcW w:type="pct" w:w="86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fill="D9D9D9" w:color="auto" w:val="clear"/>
            <w:tcMar>
              <w:top w:w="0" w:type="dxa"/>
              <w:left w:w="108" w:type="dxa"/>
              <w:bottom w:w="0" w:type="dxa"/>
              <w:right w:w="108" w:type="dxa"/>
            </w:tcMar>
            <w:hideMark/>
            <w:vAlign w:val="center"/>
          </w:tcPr>
          <w:p>
            <w:pPr>
              <w:spacing w:before="100" w:beforeAutospacing="1" w:after="100" w:afterAutospacing="1" w:line="225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hr-HR"/>
              </w:rPr>
              <w:t xml:space="preserve">Početna vrijednost 202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hr-HR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hr-HR"/>
              </w:rPr>
              <w:t xml:space="preserve">.</w:t>
            </w:r>
          </w:p>
        </w:tc>
        <w:tc>
          <w:tcPr>
            <w:tcW w:type="pct" w:w="86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fill="D9D9D9" w:color="auto" w:val="clear"/>
            <w:tcMar>
              <w:top w:w="0" w:type="dxa"/>
              <w:left w:w="108" w:type="dxa"/>
              <w:bottom w:w="0" w:type="dxa"/>
              <w:right w:w="108" w:type="dxa"/>
            </w:tcMar>
            <w:hideMark/>
            <w:vAlign w:val="center"/>
          </w:tcPr>
          <w:p>
            <w:pPr>
              <w:spacing w:before="100" w:beforeAutospacing="1" w:after="100" w:afterAutospacing="1" w:line="225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hr-HR"/>
              </w:rPr>
              <w:t xml:space="preserve">Ciljana vrijednost 202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hr-HR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hr-HR"/>
              </w:rPr>
              <w:t xml:space="preserve">.</w:t>
            </w:r>
          </w:p>
        </w:tc>
        <w:tc>
          <w:tcPr>
            <w:tcW w:type="pct" w:w="78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fill="D9D9D9" w:color="auto" w:val="clear"/>
            <w:tcMar>
              <w:top w:w="0" w:type="dxa"/>
              <w:left w:w="108" w:type="dxa"/>
              <w:bottom w:w="0" w:type="dxa"/>
              <w:right w:w="108" w:type="dxa"/>
            </w:tcMar>
            <w:hideMark/>
            <w:vAlign w:val="center"/>
          </w:tcPr>
          <w:p>
            <w:pPr>
              <w:spacing w:before="100" w:beforeAutospacing="1" w:after="100" w:afterAutospacing="1" w:line="225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hr-HR"/>
              </w:rPr>
              <w:t xml:space="preserve">Ciljana vrijednost 2027.</w:t>
            </w:r>
          </w:p>
        </w:tc>
        <w:tc>
          <w:tcPr>
            <w:tcW w:type="pct" w:w="75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fill="D9D9D9" w:color="auto" w:val="clear"/>
          </w:tcPr>
          <w:p>
            <w:pPr>
              <w:spacing w:before="100" w:beforeAutospacing="1" w:after="100" w:afterAutospacing="1" w:line="225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hr-HR"/>
              </w:rPr>
              <w:t xml:space="preserve">Ciljana vrijednost 2028.</w:t>
            </w:r>
          </w:p>
        </w:tc>
      </w:tr>
      <w:tr>
        <w:trPr>
          <w:trHeight w:val="510" w:hRule="atLeast"/>
        </w:trPr>
        <w:tc>
          <w:tcPr>
            <w:tcW w:type="pct" w:w="1726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fill="FFFFFF" w:color="auto" w:val="clear"/>
            <w:tcMar>
              <w:top w:w="0" w:type="dxa"/>
              <w:left w:w="108" w:type="dxa"/>
              <w:bottom w:w="0" w:type="dxa"/>
              <w:right w:w="108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Cs w:val="24"/>
                <w:lang w:eastAsia="hr-HR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4"/>
                <w:lang w:eastAsia="hr-HR"/>
              </w:rPr>
              <w:t xml:space="preserve">Broj učenika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4"/>
                <w:lang w:eastAsia="hr-HR"/>
              </w:rPr>
              <w:t xml:space="preserve">Broj </w:t>
            </w:r>
            <w:r>
              <w:rPr>
                <w:rFonts w:ascii="Times New Roman" w:hAnsi="Times New Roman" w:eastAsia="Times New Roman" w:cs="Times New Roman"/>
                <w:color w:val="000000"/>
                <w:szCs w:val="24"/>
                <w:lang w:eastAsia="hr-HR"/>
              </w:rPr>
              <w:t xml:space="preserve">nastavnika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4"/>
                <w:lang w:eastAsia="hr-HR"/>
              </w:rPr>
              <w:t xml:space="preserve">Broj vanjskih suradnika</w:t>
            </w:r>
          </w:p>
        </w:tc>
        <w:tc>
          <w:tcPr>
            <w:tcW w:type="pct" w:w="866"/>
            <w:tcBorders>
              <w:top w:val="nil"/>
              <w:left w:val="nil"/>
              <w:bottom w:val="nil"/>
              <w:right w:val="single" w:color="auto" w:sz="8" w:space="0"/>
            </w:tcBorders>
            <w:shd w:fill="FFFFFF" w:color="auto" w:val="clear"/>
            <w:tcMar>
              <w:top w:w="0" w:type="dxa"/>
              <w:left w:w="108" w:type="dxa"/>
              <w:bottom w:w="0" w:type="dxa"/>
              <w:right w:w="108" w:type="dxa"/>
            </w:tcMar>
            <w:hideMark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4"/>
                <w:lang w:eastAsia="hr-HR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hr-HR"/>
              </w:rPr>
              <w:t xml:space="preserve">24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hr-HR"/>
              </w:rPr>
              <w:t xml:space="preserve"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hr-HR"/>
              </w:rPr>
              <w:t xml:space="preserve">1</w:t>
            </w:r>
          </w:p>
        </w:tc>
        <w:tc>
          <w:tcPr>
            <w:tcW w:type="pct" w:w="865"/>
            <w:tcBorders>
              <w:top w:val="nil"/>
              <w:left w:val="nil"/>
              <w:bottom w:val="nil"/>
              <w:right w:val="single" w:color="auto" w:sz="8" w:space="0"/>
            </w:tcBorders>
            <w:shd w:fill="FFFFFF" w:color="auto" w:val="clear"/>
            <w:tcMar>
              <w:top w:w="0" w:type="dxa"/>
              <w:left w:w="108" w:type="dxa"/>
              <w:bottom w:w="0" w:type="dxa"/>
              <w:right w:w="108" w:type="dxa"/>
            </w:tcMar>
            <w:hideMark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4"/>
                <w:lang w:eastAsia="hr-HR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hr-HR"/>
              </w:rPr>
              <w:t xml:space="preserve"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hr-HR"/>
              </w:rPr>
              <w:t xml:space="preserve"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hr-HR"/>
              </w:rPr>
              <w:t xml:space="preserve">0</w:t>
            </w:r>
          </w:p>
        </w:tc>
        <w:tc>
          <w:tcPr>
            <w:tcW w:type="pct" w:w="787"/>
            <w:tcBorders>
              <w:top w:val="nil"/>
              <w:left w:val="nil"/>
              <w:bottom w:val="nil"/>
              <w:right w:val="single" w:color="auto" w:sz="8" w:space="0"/>
            </w:tcBorders>
            <w:shd w:fill="FFFFFF" w:color="auto" w:val="clear"/>
            <w:tcMar>
              <w:top w:w="0" w:type="dxa"/>
              <w:left w:w="108" w:type="dxa"/>
              <w:bottom w:w="0" w:type="dxa"/>
              <w:right w:w="108" w:type="dxa"/>
            </w:tcMar>
            <w:hideMark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4"/>
                <w:lang w:eastAsia="hr-HR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hr-HR"/>
              </w:rPr>
              <w:t xml:space="preserve"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hr-HR"/>
              </w:rPr>
              <w:t xml:space="preserve"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hr-HR"/>
              </w:rPr>
              <w:t xml:space="preserve">0</w:t>
            </w:r>
          </w:p>
        </w:tc>
        <w:tc>
          <w:tcPr>
            <w:tcW w:type="pct" w:w="756"/>
            <w:tcBorders>
              <w:top w:val="nil"/>
              <w:left w:val="nil"/>
              <w:bottom w:val="nil"/>
              <w:right w:val="single" w:color="auto" w:sz="8" w:space="0"/>
            </w:tcBorders>
            <w:shd w:fill="FFFFFF" w:color="auto" w:val="clea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4"/>
                <w:lang w:eastAsia="hr-HR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hr-HR"/>
              </w:rPr>
              <w:t xml:space="preserve"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hr-HR"/>
              </w:rPr>
              <w:t xml:space="preserve"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hr-HR"/>
              </w:rPr>
              <w:t xml:space="preserve">0</w:t>
            </w:r>
          </w:p>
        </w:tc>
      </w:tr>
      <w:tr>
        <w:trPr>
          <w:trHeight w:val="86" w:hRule="atLeast"/>
        </w:trPr>
        <w:tc>
          <w:tcPr>
            <w:tcW w:type="pct" w:w="1726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fill="FFFFFF" w:color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hr-HR"/>
              </w:rPr>
            </w:pPr>
          </w:p>
        </w:tc>
        <w:tc>
          <w:tcPr>
            <w:tcW w:type="pct" w:w="866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fill="FFFFFF" w:color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type="pct" w:w="865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fill="FFFFFF" w:color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type="pct" w:w="787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fill="FFFFFF" w:color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type="pct" w:w="756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fill="FFFFFF" w:color="auto" w:val="clea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</w:pPr>
          </w:p>
        </w:tc>
      </w:tr>
    </w:tbl>
    <w:p>
      <w:pPr>
        <w:spacing/>
        <w:jc w:val="both"/>
        <w:rPr>
          <w:rFonts w:ascii="Times New Roman" w:hAnsi="Times New Roman" w:cs="Times New Roman"/>
        </w:rPr>
      </w:pPr>
    </w:p>
    <w:p>
      <w:pPr>
        <w:spacing/>
        <w:jc w:val="both"/>
        <w:rPr>
          <w:rFonts w:ascii="Times New Roman" w:hAnsi="Times New Roman" w:cs="Times New Roman"/>
          <w:b/>
          <w:bCs/>
        </w:rPr>
      </w:pPr>
    </w:p>
    <w:p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b/>
          <w:bCs/>
          <w:color w:val="000000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bCs/>
          <w:color w:val="000000"/>
          <w:szCs w:val="24"/>
          <w:lang w:eastAsia="hr-HR"/>
        </w:rPr>
        <w:t xml:space="preserve">T4307-58 Projekt Erasmus+ Young Minds SCH244244</w:t>
      </w:r>
      <w:r>
        <w:rPr>
          <w:rFonts w:ascii="Times New Roman" w:hAnsi="Times New Roman" w:eastAsia="Times New Roman" w:cs="Times New Roman"/>
          <w:color w:val="000000"/>
          <w:szCs w:val="24"/>
          <w:lang w:eastAsia="hr-HR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Cs w:val="24"/>
          <w:lang w:eastAsia="hr-HR"/>
        </w:rPr>
        <w:t xml:space="preserve">PGŠ</w:t>
      </w:r>
    </w:p>
    <w:p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color w:val="000000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bCs/>
          <w:color w:val="000000"/>
          <w:szCs w:val="24"/>
          <w:lang w:eastAsia="hr-HR"/>
        </w:rPr>
        <w:t xml:space="preserve">4307 Međunarodni EU Projekti</w:t>
      </w:r>
    </w:p>
    <w:tbl>
      <w:tblPr>
        <w:tblW w:w="9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1369"/>
        <w:gridCol w:w="1539"/>
        <w:gridCol w:w="1628"/>
        <w:gridCol w:w="1788"/>
      </w:tblGrid>
      <w:tr>
        <w:trPr>
          <w:trHeight w:val="619" w:hRule="atLeast"/>
          <w:jc w:val="center"/>
        </w:trPr>
        <w:tc>
          <w:tcPr>
            <w:tcW w:type="dxa" w:w="169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type="dxa" w:w="14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hideMark/>
          </w:tcPr>
          <w:p>
            <w:pPr>
              <w:spacing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Plan 2025.</w:t>
            </w:r>
          </w:p>
        </w:tc>
        <w:tc>
          <w:tcPr>
            <w:tcW w:type="dxa" w:w="136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hideMark/>
          </w:tcPr>
          <w:p>
            <w:pPr>
              <w:spacing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Plan 2026.</w:t>
            </w:r>
          </w:p>
        </w:tc>
        <w:tc>
          <w:tcPr>
            <w:tcW w:type="dxa" w:w="153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hideMark/>
          </w:tcPr>
          <w:p>
            <w:pPr>
              <w:spacing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Procjena 2027.</w:t>
            </w:r>
          </w:p>
        </w:tc>
        <w:tc>
          <w:tcPr>
            <w:tcW w:type="dxa" w:w="16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hideMark/>
          </w:tcPr>
          <w:p>
            <w:pPr>
              <w:spacing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Procjena 2028.</w:t>
            </w:r>
          </w:p>
        </w:tc>
        <w:tc>
          <w:tcPr>
            <w:tcW w:type="dxa" w:w="17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hideMark/>
          </w:tcPr>
          <w:p>
            <w:pPr>
              <w:spacing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Indeks 2026/2025</w:t>
            </w:r>
          </w:p>
        </w:tc>
      </w:tr>
      <w:tr>
        <w:trPr>
          <w:trHeight w:val="1226" w:hRule="atLeast"/>
          <w:jc w:val="center"/>
        </w:trPr>
        <w:tc>
          <w:tcPr>
            <w:tcW w:type="dxa" w:w="169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T4307-58</w:t>
            </w:r>
          </w:p>
        </w:tc>
        <w:tc>
          <w:tcPr>
            <w:tcW w:type="dxa" w:w="14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10.531,20</w:t>
            </w:r>
          </w:p>
        </w:tc>
        <w:tc>
          <w:tcPr>
            <w:tcW w:type="dxa" w:w="136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10.531,20</w:t>
            </w:r>
          </w:p>
        </w:tc>
        <w:tc>
          <w:tcPr>
            <w:tcW w:type="dxa" w:w="153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0,00</w:t>
            </w:r>
          </w:p>
        </w:tc>
        <w:tc>
          <w:tcPr>
            <w:tcW w:type="dxa" w:w="16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0,00</w:t>
            </w:r>
          </w:p>
        </w:tc>
        <w:tc>
          <w:tcPr>
            <w:tcW w:type="dxa" w:w="17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0,00</w:t>
            </w:r>
          </w:p>
        </w:tc>
      </w:tr>
    </w:tbl>
    <w:p>
      <w:pPr>
        <w:spacing/>
        <w:jc w:val="both"/>
        <w:rPr>
          <w:rFonts w:ascii="Times New Roman" w:hAnsi="Times New Roman" w:cs="Times New Roman"/>
          <w:bCs/>
        </w:rPr>
      </w:pPr>
    </w:p>
    <w:p>
      <w:pPr>
        <w: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Iznos od 10.531,20 eura uplaćen je u 2024. godini te prenesen kao višak prihoda u 2025. godinu. </w:t>
      </w:r>
      <w:r>
        <w:rPr>
          <w:rFonts w:ascii="Times New Roman" w:hAnsi="Times New Roman" w:cs="Times New Roman"/>
          <w:bCs/>
        </w:rPr>
        <w:t xml:space="preserve">U 2026. godini planirana je uplata od 10.531,20 eura. Projekt traje do </w:t>
      </w:r>
      <w:r>
        <w:rPr>
          <w:rFonts w:ascii="Times New Roman" w:hAnsi="Times New Roman" w:cs="Times New Roman"/>
          <w:bCs/>
        </w:rPr>
        <w:t xml:space="preserve">kraja </w:t>
      </w:r>
      <w:r>
        <w:rPr>
          <w:rFonts w:ascii="Times New Roman" w:hAnsi="Times New Roman" w:cs="Times New Roman"/>
          <w:bCs/>
        </w:rPr>
        <w:t xml:space="preserve">ožujka 2027. godine.</w:t>
      </w:r>
    </w:p>
    <w:p>
      <w:pPr>
        <w: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Opis projekta</w:t>
      </w:r>
    </w:p>
    <w:p>
      <w:pPr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Prirodoslovno-grafička škola je partner u </w:t>
      </w:r>
      <w:r>
        <w:rPr>
          <w:rFonts w:ascii="Times New Roman" w:hAnsi="Times New Roman" w:cs="Times New Roman"/>
        </w:rPr>
        <w:t xml:space="preserve">Projekt</w:t>
      </w:r>
      <w:r>
        <w:rPr>
          <w:rFonts w:ascii="Times New Roman" w:hAnsi="Times New Roman" w:cs="Times New Roman"/>
        </w:rPr>
        <w:t xml:space="preserve">u</w:t>
      </w:r>
      <w:r>
        <w:rPr>
          <w:rFonts w:ascii="Times New Roman" w:hAnsi="Times New Roman" w:cs="Times New Roman"/>
        </w:rPr>
        <w:t xml:space="preserve"> Young Minds</w:t>
      </w:r>
      <w:r>
        <w:rPr>
          <w:rFonts w:ascii="Times New Roman" w:hAnsi="Times New Roman" w:cs="Times New Roman"/>
        </w:rPr>
        <w:t xml:space="preserve">. Projekt</w:t>
      </w:r>
      <w:r>
        <w:rPr>
          <w:rFonts w:ascii="Times New Roman" w:hAnsi="Times New Roman" w:cs="Times New Roman"/>
        </w:rPr>
        <w:t xml:space="preserve"> ima za cilj unaprijediti vještine nastavnika u temama mentalnog zdravlja i to putem europske kinematografije. Young Minds koristi filmove kao obrazovni resurs, pružajući jedinstven i zanimljiv način istraživanja složenih i osjetljivih pitanja, potičući kritičko razmišljanje i empatiju, međukulturalno razumijevanje te smanjenje stigme nastale oko mentalnog zdravlja. U projekt je uključena šira školska zajednica, obuhvaćajući adolescente, roditelje, djecu i obitelji, kao i stručnjake za mentalno zdravlje te audiovizualne medije, s ciljem promocije razumijevanja mentalnog zdravlja mladih.</w:t>
      </w:r>
    </w:p>
    <w:p>
      <w:pPr>
        <w: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Svrha provedbe projekta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Kroz treninge učitelja i nastavnika, kreirajući inovativne metode učenja i promovirajući vlastite primjere dobre prakse, Young Minds će smanjiti stigmu nastalu oko mentalnog zdravlja mladih i otvoriti raspravu na lokalnoj, nacionalnoj i transnacionalnoj razini. 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Koristeći europske filmove razvit će i distribuirati obrazovne resurse o mentalnom zdravlju.</w:t>
      </w:r>
    </w:p>
    <w:p>
      <w:pPr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Sudjelovanje u aktivnostima  projekta unaprijedit će sposobnosti nastavnika za obradu tema mentalnog zdravlja u učionici te poticati kritičko razmišljanje i empatiju kod učenika kroz inovativne nastavne metode.</w:t>
      </w:r>
    </w:p>
    <w:p>
      <w:pPr>
        <w: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Ključne aktivnosti</w:t>
      </w:r>
    </w:p>
    <w:p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Izrada knjižice europskih filmova o mentalnom zdravlju</w:t>
      </w:r>
    </w:p>
    <w:p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Izrada priručnika o mentalnom zdravlju za nastavnike s lekcijama za korištenje</w:t>
      </w:r>
    </w:p>
    <w:p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Program jačanja kapaciteta za nastavnike</w:t>
      </w:r>
    </w:p>
    <w:p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Provođenje radionica s učenicima u dva kruga pilotiranja</w:t>
      </w:r>
    </w:p>
    <w:p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Školska događanja pod nazivom „Mentalno zdravlje na ekranu“</w:t>
      </w:r>
    </w:p>
    <w:p>
      <w:pPr>
        <w:spacing/>
        <w:jc w:val="both"/>
        <w:rPr>
          <w:rFonts w:ascii="Times New Roman" w:hAnsi="Times New Roman" w:cs="Times New Roman"/>
        </w:rPr>
      </w:pPr>
    </w:p>
    <w:p>
      <w:pPr>
        <w: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Pokazatelj rezultata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90"/>
        <w:gridCol w:w="1601"/>
        <w:gridCol w:w="1599"/>
        <w:gridCol w:w="1455"/>
        <w:gridCol w:w="1397"/>
      </w:tblGrid>
      <w:tr>
        <w:trPr>
          <w:trHeight w:val="216" w:hRule="atLeast"/>
        </w:trPr>
        <w:tc>
          <w:tcPr>
            <w:tcW w:type="pct" w:w="1726"/>
            <w:tcBorders/>
            <w:shd w:fill="DDDDDD" w:color="auto" w:val="clear"/>
            <w:hideMark/>
          </w:tcPr>
          <w:p>
            <w:pPr>
              <w:spacing w:before="100" w:beforeAutospacing="1" w:after="100" w:afterAutospacing="1" w:line="225" w:lineRule="atLeast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hr-HR"/>
              </w:rPr>
              <w:t xml:space="preserve">Pokazatelj rezultata (naziv pokazatelja)</w:t>
            </w:r>
          </w:p>
        </w:tc>
        <w:tc>
          <w:tcPr>
            <w:tcW w:type="pct" w:w="866"/>
            <w:tcBorders/>
            <w:shd w:fill="DDDDDD" w:color="auto" w:val="clear"/>
            <w:hideMark/>
          </w:tcPr>
          <w:p>
            <w:pPr>
              <w:spacing w:before="100" w:beforeAutospacing="1" w:after="100" w:afterAutospacing="1" w:line="225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hr-HR"/>
              </w:rPr>
              <w:t xml:space="preserve">Početna vrijednost 202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hr-HR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hr-HR"/>
              </w:rPr>
              <w:t xml:space="preserve">.</w:t>
            </w:r>
          </w:p>
        </w:tc>
        <w:tc>
          <w:tcPr>
            <w:tcW w:type="pct" w:w="865"/>
            <w:tcBorders/>
            <w:shd w:fill="DDDDDD" w:color="auto" w:val="clear"/>
            <w:hideMark/>
          </w:tcPr>
          <w:p>
            <w:pPr>
              <w:spacing w:before="100" w:beforeAutospacing="1" w:after="100" w:afterAutospacing="1" w:line="225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hr-HR"/>
              </w:rPr>
              <w:t xml:space="preserve">Ciljana vrijednost 202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hr-HR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hr-HR"/>
              </w:rPr>
              <w:t xml:space="preserve">.</w:t>
            </w:r>
          </w:p>
        </w:tc>
        <w:tc>
          <w:tcPr>
            <w:tcW w:type="pct" w:w="787"/>
            <w:tcBorders/>
            <w:shd w:fill="DDDDDD" w:color="auto" w:val="clear"/>
            <w:hideMark/>
          </w:tcPr>
          <w:p>
            <w:pPr>
              <w:spacing w:before="100" w:beforeAutospacing="1" w:after="100" w:afterAutospacing="1" w:line="225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hr-HR"/>
              </w:rPr>
              <w:t xml:space="preserve">Ciljana vrijednost 2027.</w:t>
            </w:r>
          </w:p>
        </w:tc>
        <w:tc>
          <w:tcPr>
            <w:tcW w:type="pct" w:w="756"/>
            <w:tcBorders/>
            <w:shd w:fill="DDDDDD" w:color="auto" w:val="clear"/>
          </w:tcPr>
          <w:p>
            <w:pPr>
              <w:spacing w:before="100" w:beforeAutospacing="1" w:after="100" w:afterAutospacing="1" w:line="225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hr-HR"/>
              </w:rPr>
              <w:t xml:space="preserve">Ciljana vrijednost 2028.</w:t>
            </w:r>
          </w:p>
        </w:tc>
      </w:tr>
      <w:tr>
        <w:trPr>
          <w:trHeight w:val="510" w:hRule="atLeast"/>
        </w:trPr>
        <w:tc>
          <w:tcPr>
            <w:tcW w:type="pct" w:w="1726"/>
            <w:tcBorders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4"/>
                <w:lang w:eastAsia="hr-HR"/>
              </w:rPr>
              <w:t xml:space="preserve">1.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4"/>
                <w:lang w:eastAsia="hr-HR"/>
              </w:rPr>
              <w:t xml:space="preserve">Edukacija nastavnika u radu s temama mentalnog zdravlja</w:t>
            </w:r>
          </w:p>
        </w:tc>
        <w:tc>
          <w:tcPr>
            <w:tcW w:type="pct" w:w="866"/>
            <w:tcBorders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hr-HR"/>
              </w:rPr>
              <w:t xml:space="preserve">2</w:t>
            </w:r>
          </w:p>
        </w:tc>
        <w:tc>
          <w:tcPr>
            <w:tcW w:type="pct" w:w="865"/>
            <w:tcBorders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hr-HR"/>
              </w:rPr>
              <w:t xml:space="preserve">4</w:t>
            </w:r>
          </w:p>
        </w:tc>
        <w:tc>
          <w:tcPr>
            <w:tcW w:type="pct" w:w="787"/>
            <w:tcBorders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hr-HR"/>
              </w:rPr>
              <w:t xml:space="preserve">8</w:t>
            </w:r>
          </w:p>
        </w:tc>
        <w:tc>
          <w:tcPr>
            <w:tcW w:type="pct" w:w="756"/>
            <w:tcBorders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hr-HR"/>
              </w:rPr>
              <w:t xml:space="preserve">0</w:t>
            </w:r>
          </w:p>
        </w:tc>
      </w:tr>
      <w:tr>
        <w:trPr>
          <w:trHeight w:val="510" w:hRule="atLeast"/>
        </w:trPr>
        <w:tc>
          <w:tcPr>
            <w:tcW w:type="pct" w:w="1726"/>
            <w:tcBorders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4"/>
                <w:lang w:eastAsia="hr-HR"/>
              </w:rPr>
              <w:t xml:space="preserve">2.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4"/>
                <w:lang w:eastAsia="hr-HR"/>
              </w:rPr>
              <w:t xml:space="preserve">Uključenost učenika u program edukacije</w:t>
            </w:r>
          </w:p>
        </w:tc>
        <w:tc>
          <w:tcPr>
            <w:tcW w:type="pct" w:w="866"/>
            <w:tcBorders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hr-HR"/>
              </w:rPr>
              <w:t xml:space="preserve">30</w:t>
            </w:r>
          </w:p>
        </w:tc>
        <w:tc>
          <w:tcPr>
            <w:tcW w:type="pct" w:w="865"/>
            <w:tcBorders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hr-HR"/>
              </w:rPr>
              <w:t xml:space="preserve">70</w:t>
            </w:r>
          </w:p>
        </w:tc>
        <w:tc>
          <w:tcPr>
            <w:tcW w:type="pct" w:w="787"/>
            <w:tcBorders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hr-HR"/>
              </w:rPr>
              <w:t xml:space="preserve">100</w:t>
            </w:r>
          </w:p>
        </w:tc>
        <w:tc>
          <w:tcPr>
            <w:tcW w:type="pct" w:w="756"/>
            <w:tcBorders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hr-HR"/>
              </w:rPr>
              <w:t xml:space="preserve">0</w:t>
            </w:r>
          </w:p>
        </w:tc>
      </w:tr>
    </w:tbl>
    <w:p>
      <w:pPr>
        <w:spacing/>
        <w:rPr>
          <w:rFonts w:ascii="Times New Roman" w:hAnsi="Times New Roman" w:cs="Times New Roman"/>
          <w:b/>
          <w:bCs/>
        </w:rPr>
      </w:pPr>
    </w:p>
    <w:p>
      <w:pPr>
        <w:spacing/>
        <w:rPr>
          <w:rFonts w:ascii="Times New Roman" w:hAnsi="Times New Roman" w:cs="Times New Roman"/>
          <w:b/>
          <w:bCs/>
        </w:rPr>
      </w:pPr>
    </w:p>
    <w:p>
      <w:pPr>
        <w: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T4307-70 Projekt Erasmus+Imaginarium KA122-000345385 PGŠ</w:t>
      </w:r>
    </w:p>
    <w:p>
      <w:pPr>
        <w: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4307 Međunarodni  EU Projekti</w:t>
      </w:r>
    </w:p>
    <w:tbl>
      <w:tblPr>
        <w:tblW w:w="9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1369"/>
        <w:gridCol w:w="1539"/>
        <w:gridCol w:w="1628"/>
        <w:gridCol w:w="1788"/>
      </w:tblGrid>
      <w:tr>
        <w:trPr>
          <w:trHeight w:val="619" w:hRule="atLeast"/>
          <w:jc w:val="center"/>
        </w:trPr>
        <w:tc>
          <w:tcPr>
            <w:tcW w:type="dxa" w:w="169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type="dxa" w:w="14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hideMark/>
          </w:tcPr>
          <w:p>
            <w:pPr>
              <w:spacing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Plan 2025.</w:t>
            </w:r>
          </w:p>
        </w:tc>
        <w:tc>
          <w:tcPr>
            <w:tcW w:type="dxa" w:w="136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hideMark/>
          </w:tcPr>
          <w:p>
            <w:pPr>
              <w:spacing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Plan 2026.</w:t>
            </w:r>
          </w:p>
        </w:tc>
        <w:tc>
          <w:tcPr>
            <w:tcW w:type="dxa" w:w="153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hideMark/>
          </w:tcPr>
          <w:p>
            <w:pPr>
              <w:spacing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Procjena 2027.</w:t>
            </w:r>
          </w:p>
        </w:tc>
        <w:tc>
          <w:tcPr>
            <w:tcW w:type="dxa" w:w="16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hideMark/>
          </w:tcPr>
          <w:p>
            <w:pPr>
              <w:spacing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Procjena 2028.</w:t>
            </w:r>
          </w:p>
        </w:tc>
        <w:tc>
          <w:tcPr>
            <w:tcW w:type="dxa" w:w="17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hideMark/>
          </w:tcPr>
          <w:p>
            <w:pPr>
              <w:spacing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Indeks 2026/2025</w:t>
            </w:r>
          </w:p>
        </w:tc>
      </w:tr>
      <w:tr>
        <w:trPr>
          <w:trHeight w:val="1226" w:hRule="atLeast"/>
          <w:jc w:val="center"/>
        </w:trPr>
        <w:tc>
          <w:tcPr>
            <w:tcW w:type="dxa" w:w="169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T4307-70</w:t>
            </w:r>
          </w:p>
        </w:tc>
        <w:tc>
          <w:tcPr>
            <w:tcW w:type="dxa" w:w="14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0,00</w:t>
            </w:r>
          </w:p>
        </w:tc>
        <w:tc>
          <w:tcPr>
            <w:tcW w:type="dxa" w:w="136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33.651,00</w:t>
            </w:r>
          </w:p>
        </w:tc>
        <w:tc>
          <w:tcPr>
            <w:tcW w:type="dxa" w:w="153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0,00</w:t>
            </w:r>
          </w:p>
        </w:tc>
        <w:tc>
          <w:tcPr>
            <w:tcW w:type="dxa" w:w="16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0,00</w:t>
            </w:r>
          </w:p>
        </w:tc>
        <w:tc>
          <w:tcPr>
            <w:tcW w:type="dxa" w:w="17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0,00</w:t>
            </w:r>
          </w:p>
        </w:tc>
      </w:tr>
    </w:tbl>
    <w:p>
      <w:pPr>
        <w:spacing/>
        <w:rPr>
          <w:rFonts w:ascii="Times New Roman" w:hAnsi="Times New Roman" w:cs="Times New Roman"/>
          <w:b/>
          <w:bCs/>
        </w:rPr>
      </w:pPr>
    </w:p>
    <w:p>
      <w:pPr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Prva isplata </w:t>
      </w:r>
      <w:r>
        <w:rPr>
          <w:rFonts w:ascii="Times New Roman" w:hAnsi="Times New Roman" w:cs="Times New Roman"/>
        </w:rPr>
        <w:t xml:space="preserve">p</w:t>
      </w:r>
      <w:r>
        <w:rPr>
          <w:rFonts w:ascii="Times New Roman" w:hAnsi="Times New Roman" w:cs="Times New Roman"/>
        </w:rPr>
        <w:t xml:space="preserve">rojekt</w:t>
      </w:r>
      <w:r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 xml:space="preserve">bila je </w:t>
      </w:r>
      <w:r>
        <w:rPr>
          <w:rFonts w:ascii="Times New Roman" w:hAnsi="Times New Roman" w:cs="Times New Roman"/>
        </w:rPr>
        <w:t xml:space="preserve">10.7.</w:t>
      </w:r>
      <w:r>
        <w:rPr>
          <w:rFonts w:ascii="Times New Roman" w:hAnsi="Times New Roman" w:cs="Times New Roman"/>
        </w:rPr>
        <w:t xml:space="preserve"> 2025.  u iznosu od 36.520,80 eura</w:t>
      </w:r>
      <w:r>
        <w:rPr>
          <w:rFonts w:ascii="Times New Roman" w:hAnsi="Times New Roman" w:cs="Times New Roman"/>
        </w:rPr>
        <w:t xml:space="preserve">., </w:t>
      </w:r>
      <w:r>
        <w:rPr>
          <w:rFonts w:ascii="Times New Roman" w:hAnsi="Times New Roman" w:cs="Times New Roman"/>
        </w:rPr>
        <w:t xml:space="preserve">nakon izrade</w:t>
      </w:r>
      <w:r>
        <w:rPr>
          <w:rFonts w:ascii="Times New Roman" w:hAnsi="Times New Roman" w:cs="Times New Roman"/>
        </w:rPr>
        <w:t xml:space="preserve"> prijedloga</w:t>
      </w:r>
      <w:r>
        <w:rPr>
          <w:rFonts w:ascii="Times New Roman" w:hAnsi="Times New Roman" w:cs="Times New Roman"/>
        </w:rPr>
        <w:t xml:space="preserve"> rebalansa, tako da se projekt ne nalazi u planu za 2025-tu. Dio iznosa bit će potrošen u 2025. godini, a ostali dio bit će prenesen kao višak prihoda u sljedeću godinu.</w:t>
      </w:r>
      <w:r>
        <w:rPr>
          <w:rFonts w:ascii="Times New Roman" w:hAnsi="Times New Roman" w:cs="Times New Roman"/>
        </w:rPr>
        <w:t xml:space="preserve"> Projekt se planira završiti tijekom 2026. godine te bi završna isplata trebala biti također potkraj 2026. godine u iznosu od 9.130,20 eura.</w:t>
      </w:r>
    </w:p>
    <w:p>
      <w:pPr>
        <w:spacing/>
        <w:rPr>
          <w:rFonts w:ascii="Times New Roman" w:hAnsi="Times New Roman" w:cs="Times New Roman"/>
          <w:b/>
          <w:bCs/>
        </w:rPr>
      </w:pPr>
    </w:p>
    <w:p>
      <w:pPr>
        <w:spacing/>
        <w:rPr>
          <w:rFonts w:ascii="Times New Roman" w:hAnsi="Times New Roman" w:cs="Times New Roman"/>
          <w:b/>
          <w:bCs/>
        </w:rPr>
      </w:pPr>
    </w:p>
    <w:p>
      <w:pPr>
        <w: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Opis projekta</w:t>
      </w:r>
    </w:p>
    <w:p>
      <w:pPr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Kroz mobilnosti i razne aktivnosti planirane projektom</w:t>
      </w:r>
      <w:r>
        <w:rPr>
          <w:rFonts w:ascii="Times New Roman" w:hAnsi="Times New Roman" w:cs="Times New Roman"/>
        </w:rPr>
        <w:t xml:space="preserve"> Imaginarium</w:t>
      </w:r>
      <w:r>
        <w:rPr>
          <w:rFonts w:ascii="Times New Roman" w:hAnsi="Times New Roman" w:cs="Times New Roman"/>
        </w:rPr>
        <w:t xml:space="preserve">, nastavnici i učenici ostvarit će suradnju s uspješnim tvrtkama partnerima Erasmus programa. Učinit će napredak u znanjima i vještinama iz teoretskih područja i njihove praktične primjene u rješavanju konkretnih problema vezanih uz prirodu njihovog posla, uključujući 3D dizajn, video igre i </w:t>
      </w:r>
      <w:r>
        <w:rPr>
          <w:rFonts w:ascii="Times New Roman" w:hAnsi="Times New Roman" w:cs="Times New Roman"/>
        </w:rPr>
        <w:t xml:space="preserve">proširenu</w:t>
      </w:r>
      <w:r>
        <w:rPr>
          <w:rFonts w:ascii="Times New Roman" w:hAnsi="Times New Roman" w:cs="Times New Roman"/>
        </w:rPr>
        <w:t xml:space="preserve"> stvarnost, korištenje tehnologija AI, VR u nastavi te podcasta i streaming tehnologija. Upoznavanje s modernim tehnologijama i metodologijama rada u struci potaknut će sudionike treninga na osobni i profesionalni razvoj, cjeloživotno učenje te dijeljenje iskustava s drugim dionicima nakon povratka s mobilnosti.</w:t>
      </w:r>
    </w:p>
    <w:p>
      <w:pPr>
        <w: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Svrha provedbe projekta</w:t>
      </w:r>
    </w:p>
    <w:p>
      <w:pPr>
        <w: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Osnažiti nastavnike kroz mobilnosti, omogućiti im pristup novim tehnologijama i metodologijama, te potaknuti njihovu daljnju profesionalizaciju i razvoj kompetencija.</w:t>
      </w:r>
    </w:p>
    <w:p>
      <w:pPr>
        <w: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Povećati kvalitetu obrazovanja i vještina učenika kroz praktične aktivnosti u suradnji s europskim partnerima.</w:t>
      </w:r>
    </w:p>
    <w:p>
      <w:pPr>
        <w: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Razviti kurikule</w:t>
      </w:r>
      <w:r>
        <w:rPr>
          <w:rFonts w:ascii="Times New Roman" w:hAnsi="Times New Roman" w:cs="Times New Roman"/>
        </w:rPr>
        <w:t xml:space="preserve"> koji odgovaraju na izazove digitalne i zelene tranzicije.</w:t>
      </w:r>
    </w:p>
    <w:p>
      <w:pPr>
        <w: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Povećati konkurentnost učenika na tržištu rada, osiguravajući im potrebne vještine za rad u visoko tehnološkim industrijama.</w:t>
      </w:r>
    </w:p>
    <w:p>
      <w:pPr>
        <w: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Ključne aktivnosti</w:t>
      </w:r>
    </w:p>
    <w:p>
      <w:pPr>
        <w:pStyle w:val="ListParagraph"/>
        <w:numPr>
          <w:ilvl w:val="0"/>
          <w:numId w:val="5"/>
        </w:numPr>
        <w:spacing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Sudjelovanje učenika u stručnoj praksi u inozemstvu</w:t>
      </w:r>
    </w:p>
    <w:p>
      <w:pPr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Uz radne navike, poduzetnički duh i profesionalnost, vještine rada u timu i jezične vještine, ishodi za učenike su poznavanje alata i korištenje osnov</w:t>
      </w:r>
      <w:r>
        <w:rPr>
          <w:rFonts w:ascii="Times New Roman" w:hAnsi="Times New Roman" w:cs="Times New Roman"/>
        </w:rPr>
        <w:t xml:space="preserve">a</w:t>
      </w:r>
      <w:r>
        <w:rPr>
          <w:rFonts w:ascii="Times New Roman" w:hAnsi="Times New Roman" w:cs="Times New Roman"/>
        </w:rPr>
        <w:t xml:space="preserve"> za kreiranje 3D modela u programu za 3D modeliranje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</w:t>
      </w:r>
      <w:r>
        <w:rPr>
          <w:rFonts w:ascii="Times New Roman" w:hAnsi="Times New Roman" w:cs="Times New Roman"/>
        </w:rPr>
        <w:t xml:space="preserve">čenik koristi mogućnosti programa za kreiranje osnovnih animacija, koristi mogućnost implementiranja fotografija za izradu scena, </w:t>
      </w:r>
      <w:r>
        <w:rPr>
          <w:rFonts w:ascii="Times New Roman" w:hAnsi="Times New Roman" w:cs="Times New Roman"/>
        </w:rPr>
        <w:t xml:space="preserve">u</w:t>
      </w:r>
      <w:r>
        <w:rPr>
          <w:rFonts w:ascii="Times New Roman" w:hAnsi="Times New Roman" w:cs="Times New Roman"/>
        </w:rPr>
        <w:t xml:space="preserve">poznaje postupak renderiranja i pripreme za prezen</w:t>
      </w:r>
      <w:r>
        <w:rPr>
          <w:rFonts w:ascii="Times New Roman" w:hAnsi="Times New Roman" w:cs="Times New Roman"/>
        </w:rPr>
        <w:t xml:space="preserve">t</w:t>
      </w:r>
      <w:r>
        <w:rPr>
          <w:rFonts w:ascii="Times New Roman" w:hAnsi="Times New Roman" w:cs="Times New Roman"/>
        </w:rPr>
        <w:t xml:space="preserve">acijski prikaz. </w:t>
      </w:r>
    </w:p>
    <w:p>
      <w:pPr>
        <w:pStyle w:val="ListParagraph"/>
        <w:numPr>
          <w:ilvl w:val="0"/>
          <w:numId w:val="5"/>
        </w:numPr>
        <w:spacing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Sudjelovanje nastavnika na praksi kao pratitelji i sudjelovanje nastavnika u strukturiranim tečajevima</w:t>
      </w:r>
    </w:p>
    <w:p>
      <w:pPr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</w:t>
      </w:r>
      <w:r>
        <w:rPr>
          <w:rFonts w:ascii="Times New Roman" w:hAnsi="Times New Roman" w:cs="Times New Roman"/>
        </w:rPr>
        <w:t xml:space="preserve">astavnici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strukovnih predmeta u sektorima </w:t>
      </w:r>
      <w:r>
        <w:rPr>
          <w:rFonts w:ascii="Times New Roman" w:hAnsi="Times New Roman" w:cs="Times New Roman"/>
        </w:rPr>
        <w:t xml:space="preserve">g</w:t>
      </w:r>
      <w:r>
        <w:rPr>
          <w:rFonts w:ascii="Times New Roman" w:hAnsi="Times New Roman" w:cs="Times New Roman"/>
        </w:rPr>
        <w:t xml:space="preserve">rafičke tehnologije i audiovizualnih tehnologija sudjelova</w:t>
      </w:r>
      <w:r>
        <w:rPr>
          <w:rFonts w:ascii="Times New Roman" w:hAnsi="Times New Roman" w:cs="Times New Roman"/>
        </w:rPr>
        <w:t xml:space="preserve">t će</w:t>
      </w:r>
      <w:r>
        <w:rPr>
          <w:rFonts w:ascii="Times New Roman" w:hAnsi="Times New Roman" w:cs="Times New Roman"/>
        </w:rPr>
        <w:t xml:space="preserve"> na strukturiranim tečajevima koje pružaju kvalificirani stručnjaci, a koji se temelji na unaprijed definiranim programima učenja i ishodima učenja. Tečajevi su organizirani u zemljama članicama EU u trajanju od </w:t>
      </w:r>
      <w:r>
        <w:rPr>
          <w:rFonts w:ascii="Times New Roman" w:hAnsi="Times New Roman" w:cs="Times New Roman"/>
        </w:rPr>
        <w:t xml:space="preserve">jednog tjedna (6 radnih dana)</w:t>
      </w:r>
      <w:r>
        <w:rPr>
          <w:rFonts w:ascii="Times New Roman" w:hAnsi="Times New Roman" w:cs="Times New Roman"/>
        </w:rPr>
        <w:t xml:space="preserve">. U osposobljavanje su uključeni sudionici iz najmanje dvije zemlje i omogućena im je interakcija s drugim polaznicima i s predavačima. </w:t>
      </w:r>
    </w:p>
    <w:p>
      <w:pPr>
        <w:spacing/>
        <w:jc w:val="both"/>
        <w:rPr>
          <w:rFonts w:ascii="Times New Roman" w:hAnsi="Times New Roman" w:cs="Times New Roman"/>
        </w:rPr>
      </w:pPr>
    </w:p>
    <w:p>
      <w:pPr>
        <w:spacing/>
        <w:jc w:val="both"/>
        <w:rPr>
          <w:rFonts w:ascii="Times New Roman" w:hAnsi="Times New Roman" w:cs="Times New Roman"/>
        </w:rPr>
      </w:pPr>
    </w:p>
    <w:p>
      <w:pPr>
        <w:spacing/>
        <w:jc w:val="both"/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90"/>
        <w:gridCol w:w="1601"/>
        <w:gridCol w:w="1599"/>
        <w:gridCol w:w="1455"/>
        <w:gridCol w:w="1397"/>
      </w:tblGrid>
      <w:tr>
        <w:trPr>
          <w:trHeight w:val="216" w:hRule="atLeast"/>
        </w:trPr>
        <w:tc>
          <w:tcPr>
            <w:tcW w:type="pct" w:w="1726"/>
            <w:tcBorders/>
            <w:shd w:fill="DDDDDD" w:color="auto" w:val="clear"/>
            <w:hideMark/>
          </w:tcPr>
          <w:p>
            <w:pPr>
              <w:spacing w:before="100" w:beforeAutospacing="1" w:after="100" w:afterAutospacing="1" w:line="225" w:lineRule="atLeast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hr-HR"/>
              </w:rPr>
              <w:t xml:space="preserve">Pokazatelj rezultata (naziv pokazatelja)</w:t>
            </w:r>
          </w:p>
        </w:tc>
        <w:tc>
          <w:tcPr>
            <w:tcW w:type="pct" w:w="866"/>
            <w:tcBorders/>
            <w:shd w:fill="DDDDDD" w:color="auto" w:val="clear"/>
            <w:hideMark/>
          </w:tcPr>
          <w:p>
            <w:pPr>
              <w:spacing w:before="100" w:beforeAutospacing="1" w:after="100" w:afterAutospacing="1" w:line="225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hr-HR"/>
              </w:rPr>
              <w:t xml:space="preserve">Početna vrijednost 202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hr-HR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hr-HR"/>
              </w:rPr>
              <w:t xml:space="preserve">.</w:t>
            </w:r>
          </w:p>
        </w:tc>
        <w:tc>
          <w:tcPr>
            <w:tcW w:type="pct" w:w="865"/>
            <w:tcBorders/>
            <w:shd w:fill="DDDDDD" w:color="auto" w:val="clear"/>
            <w:hideMark/>
          </w:tcPr>
          <w:p>
            <w:pPr>
              <w:spacing w:before="100" w:beforeAutospacing="1" w:after="100" w:afterAutospacing="1" w:line="225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hr-HR"/>
              </w:rPr>
              <w:t xml:space="preserve">Ciljana vrijednost 202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hr-HR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hr-HR"/>
              </w:rPr>
              <w:t xml:space="preserve">.</w:t>
            </w:r>
          </w:p>
        </w:tc>
        <w:tc>
          <w:tcPr>
            <w:tcW w:type="pct" w:w="787"/>
            <w:tcBorders/>
            <w:shd w:fill="DDDDDD" w:color="auto" w:val="clear"/>
            <w:hideMark/>
          </w:tcPr>
          <w:p>
            <w:pPr>
              <w:spacing w:before="100" w:beforeAutospacing="1" w:after="100" w:afterAutospacing="1" w:line="225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hr-HR"/>
              </w:rPr>
              <w:t xml:space="preserve">Ciljana vrijednost 2027.</w:t>
            </w:r>
          </w:p>
        </w:tc>
        <w:tc>
          <w:tcPr>
            <w:tcW w:type="pct" w:w="756"/>
            <w:tcBorders/>
            <w:shd w:fill="DDDDDD" w:color="auto" w:val="clear"/>
          </w:tcPr>
          <w:p>
            <w:pPr>
              <w:spacing w:before="100" w:beforeAutospacing="1" w:after="100" w:afterAutospacing="1" w:line="225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hr-HR"/>
              </w:rPr>
              <w:t xml:space="preserve">Ciljana vrijednost 2028.</w:t>
            </w:r>
          </w:p>
        </w:tc>
      </w:tr>
      <w:tr>
        <w:trPr>
          <w:trHeight w:val="510" w:hRule="atLeast"/>
        </w:trPr>
        <w:tc>
          <w:tcPr>
            <w:tcW w:type="pct" w:w="1726"/>
            <w:tcBorders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4"/>
                <w:lang w:eastAsia="hr-HR"/>
              </w:rPr>
              <w:t xml:space="preserve">1.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4"/>
                <w:lang w:eastAsia="hr-HR"/>
              </w:rPr>
              <w:t xml:space="preserve">Sudionici stručne prakse u inozemstvu - učenici</w:t>
            </w:r>
          </w:p>
        </w:tc>
        <w:tc>
          <w:tcPr>
            <w:tcW w:type="pct" w:w="866"/>
            <w:tcBorders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hr-HR"/>
              </w:rPr>
              <w:t xml:space="preserve">14</w:t>
            </w:r>
          </w:p>
        </w:tc>
        <w:tc>
          <w:tcPr>
            <w:tcW w:type="pct" w:w="865"/>
            <w:tcBorders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hr-HR"/>
              </w:rPr>
              <w:t xml:space="preserve">14</w:t>
            </w:r>
          </w:p>
        </w:tc>
        <w:tc>
          <w:tcPr>
            <w:tcW w:type="pct" w:w="787"/>
            <w:tcBorders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hr-HR"/>
              </w:rPr>
              <w:t xml:space="preserve">0</w:t>
            </w:r>
          </w:p>
        </w:tc>
        <w:tc>
          <w:tcPr>
            <w:tcW w:type="pct" w:w="756"/>
            <w:tcBorders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hr-HR"/>
              </w:rPr>
              <w:t xml:space="preserve">0</w:t>
            </w:r>
          </w:p>
        </w:tc>
      </w:tr>
      <w:tr>
        <w:trPr>
          <w:trHeight w:val="510" w:hRule="atLeast"/>
        </w:trPr>
        <w:tc>
          <w:tcPr>
            <w:tcW w:type="pct" w:w="1726"/>
            <w:tcBorders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4"/>
                <w:lang w:eastAsia="hr-HR"/>
              </w:rPr>
              <w:t xml:space="preserve">2.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4"/>
                <w:lang w:eastAsia="hr-HR"/>
              </w:rPr>
              <w:t xml:space="preserve">Sudionici stručne prakse u inozemstvu – nastavnici pratitelji</w:t>
            </w:r>
          </w:p>
        </w:tc>
        <w:tc>
          <w:tcPr>
            <w:tcW w:type="pct" w:w="866"/>
            <w:tcBorders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hr-HR"/>
              </w:rPr>
              <w:t xml:space="preserve">2</w:t>
            </w:r>
          </w:p>
        </w:tc>
        <w:tc>
          <w:tcPr>
            <w:tcW w:type="pct" w:w="865"/>
            <w:tcBorders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hr-HR"/>
              </w:rPr>
              <w:t xml:space="preserve">2</w:t>
            </w:r>
          </w:p>
        </w:tc>
        <w:tc>
          <w:tcPr>
            <w:tcW w:type="pct" w:w="787"/>
            <w:tcBorders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hr-HR"/>
              </w:rPr>
              <w:t xml:space="preserve">0</w:t>
            </w:r>
          </w:p>
        </w:tc>
        <w:tc>
          <w:tcPr>
            <w:tcW w:type="pct" w:w="756"/>
            <w:tcBorders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hr-HR"/>
              </w:rPr>
              <w:t xml:space="preserve">0</w:t>
            </w:r>
          </w:p>
        </w:tc>
      </w:tr>
      <w:tr>
        <w:trPr>
          <w:trHeight w:val="510" w:hRule="atLeast"/>
        </w:trPr>
        <w:tc>
          <w:tcPr>
            <w:tcW w:type="pct" w:w="1726"/>
            <w:tcBorders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4"/>
                <w:lang w:eastAsia="hr-HR"/>
              </w:rPr>
              <w:t xml:space="preserve">3.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4"/>
                <w:lang w:eastAsia="hr-HR"/>
              </w:rPr>
              <w:t xml:space="preserve">Sudionici strukturiranih tečajeva za nastavnike </w:t>
            </w:r>
          </w:p>
        </w:tc>
        <w:tc>
          <w:tcPr>
            <w:tcW w:type="pct" w:w="866"/>
            <w:tcBorders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hr-HR"/>
              </w:rPr>
              <w:t xml:space="preserve">4</w:t>
            </w:r>
          </w:p>
        </w:tc>
        <w:tc>
          <w:tcPr>
            <w:tcW w:type="pct" w:w="865"/>
            <w:tcBorders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hr-HR"/>
              </w:rPr>
              <w:t xml:space="preserve">4</w:t>
            </w:r>
          </w:p>
        </w:tc>
        <w:tc>
          <w:tcPr>
            <w:tcW w:type="pct" w:w="787"/>
            <w:tcBorders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hr-HR"/>
              </w:rPr>
              <w:t xml:space="preserve">0</w:t>
            </w:r>
          </w:p>
        </w:tc>
        <w:tc>
          <w:tcPr>
            <w:tcW w:type="pct" w:w="756"/>
            <w:tcBorders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hr-HR"/>
              </w:rPr>
              <w:t xml:space="preserve">0</w:t>
            </w:r>
          </w:p>
        </w:tc>
      </w:tr>
    </w:tbl>
    <w:p>
      <w:pPr>
        <w:spacing/>
        <w:rPr>
          <w:rFonts w:ascii="Times New Roman" w:hAnsi="Times New Roman" w:cs="Times New Roman"/>
        </w:rPr>
      </w:pPr>
    </w:p>
    <w:p>
      <w:pPr>
        <w: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/>
      </w:r>
      <w:r>
        <w:rPr>
          <w:rFonts w:ascii="Times New Roman" w:hAnsi="Times New Roman" w:cs="Times New Roman"/>
          <w:b/>
          <w:bCs/>
        </w:rPr>
        <w:tab/>
        <w:t xml:space="preserve"/>
      </w:r>
      <w:r>
        <w:rPr>
          <w:rFonts w:ascii="Times New Roman" w:hAnsi="Times New Roman" w:cs="Times New Roman"/>
          <w:b/>
          <w:bCs/>
        </w:rPr>
        <w:tab/>
        <w:t xml:space="preserve"/>
      </w:r>
    </w:p>
    <w:p>
      <w:pPr>
        <w:spacing/>
        <w:rPr>
          <w:rFonts w:ascii="Times New Roman" w:hAnsi="Times New Roman" w:cs="Times New Roman"/>
          <w:b/>
          <w:bCs/>
        </w:rPr>
      </w:pPr>
    </w:p>
    <w:p>
      <w:pPr>
        <w: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  <w:t xml:space="preserve"/>
      </w:r>
      <w:r>
        <w:rPr>
          <w:rFonts w:ascii="Times New Roman" w:hAnsi="Times New Roman" w:cs="Times New Roman"/>
          <w:b/>
          <w:bCs/>
        </w:rPr>
        <w:tab/>
        <w:t xml:space="preserve"/>
      </w:r>
      <w:r>
        <w:rPr>
          <w:rFonts w:ascii="Times New Roman" w:hAnsi="Times New Roman" w:cs="Times New Roman"/>
          <w:b/>
          <w:bCs/>
        </w:rPr>
        <w:tab/>
        <w:t xml:space="preserve"/>
      </w:r>
      <w:r>
        <w:rPr>
          <w:rFonts w:ascii="Times New Roman" w:hAnsi="Times New Roman" w:cs="Times New Roman"/>
          <w:b/>
          <w:bCs/>
        </w:rPr>
        <w:tab/>
        <w:t xml:space="preserve"/>
      </w:r>
      <w:r>
        <w:rPr>
          <w:rFonts w:ascii="Times New Roman" w:hAnsi="Times New Roman" w:cs="Times New Roman"/>
          <w:b/>
          <w:bCs/>
        </w:rPr>
        <w:tab/>
        <w:t xml:space="preserve"/>
      </w:r>
      <w:r>
        <w:rPr>
          <w:rFonts w:ascii="Times New Roman" w:hAnsi="Times New Roman" w:cs="Times New Roman"/>
          <w:b/>
          <w:bCs/>
        </w:rPr>
        <w:tab/>
        <w:t xml:space="preserve"/>
      </w:r>
      <w:r>
        <w:rPr>
          <w:rFonts w:ascii="Times New Roman" w:hAnsi="Times New Roman" w:cs="Times New Roman"/>
          <w:b/>
          <w:bCs/>
        </w:rPr>
        <w:tab/>
        <w:t xml:space="preserve"/>
      </w:r>
      <w:r>
        <w:rPr>
          <w:rFonts w:ascii="Times New Roman" w:hAnsi="Times New Roman" w:cs="Times New Roman"/>
          <w:b/>
          <w:bCs/>
        </w:rPr>
        <w:tab/>
        <w:t xml:space="preserve"/>
      </w:r>
      <w:r>
        <w:rPr>
          <w:rFonts w:ascii="Times New Roman" w:hAnsi="Times New Roman" w:cs="Times New Roman"/>
        </w:rPr>
        <w:t xml:space="preserve">Ravnateljica:</w:t>
      </w:r>
    </w:p>
    <w:p>
      <w:pPr>
        <w: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/>
      </w:r>
      <w:r>
        <w:rPr>
          <w:rFonts w:ascii="Times New Roman" w:hAnsi="Times New Roman" w:cs="Times New Roman"/>
        </w:rPr>
        <w:tab/>
        <w:t xml:space="preserve"/>
      </w:r>
      <w:r>
        <w:rPr>
          <w:rFonts w:ascii="Times New Roman" w:hAnsi="Times New Roman" w:cs="Times New Roman"/>
        </w:rPr>
        <w:tab/>
        <w:t xml:space="preserve"/>
      </w:r>
      <w:r>
        <w:rPr>
          <w:rFonts w:ascii="Times New Roman" w:hAnsi="Times New Roman" w:cs="Times New Roman"/>
        </w:rPr>
        <w:tab/>
        <w:t xml:space="preserve"/>
      </w:r>
      <w:r>
        <w:rPr>
          <w:rFonts w:ascii="Times New Roman" w:hAnsi="Times New Roman" w:cs="Times New Roman"/>
        </w:rPr>
        <w:tab/>
        <w:t xml:space="preserve"/>
      </w:r>
      <w:r>
        <w:rPr>
          <w:rFonts w:ascii="Times New Roman" w:hAnsi="Times New Roman" w:cs="Times New Roman"/>
        </w:rPr>
        <w:tab/>
        <w:t xml:space="preserve"/>
      </w:r>
      <w:r>
        <w:rPr>
          <w:rFonts w:ascii="Times New Roman" w:hAnsi="Times New Roman" w:cs="Times New Roman"/>
        </w:rPr>
        <w:tab/>
        <w:t xml:space="preserve"/>
      </w:r>
      <w:r>
        <w:rPr>
          <w:rFonts w:ascii="Times New Roman" w:hAnsi="Times New Roman" w:cs="Times New Roman"/>
        </w:rPr>
        <w:tab/>
        <w:t xml:space="preserve"/>
      </w:r>
      <w:r>
        <w:rPr>
          <w:rFonts w:ascii="Times New Roman" w:hAnsi="Times New Roman" w:cs="Times New Roman"/>
        </w:rPr>
        <w:t xml:space="preserve">Anamarija Ivković dipl.ing.</w:t>
      </w:r>
      <w:r>
        <w:rPr>
          <w:rFonts w:ascii="Times New Roman" w:hAnsi="Times New Roman" w:cs="Times New Roman"/>
          <w:b/>
          <w:bCs/>
        </w:rPr>
        <w:tab/>
        <w:t xml:space="preserve"/>
      </w:r>
    </w:p>
    <w:sectPr>
      <w:headerReference w:type="first" r:id="rId2"/>
      <w:footerReference w:type="first" r:id="rId3"/>
      <w:headerReference w:type="even" r:id="rId4"/>
      <w:footerReference w:type="even" r:id="rId5"/>
      <w:headerReference w:type="default" r:id="rId6"/>
      <w:footerReference w:type="default" r:id="rId7"/>
      <w:type w:val="nextPage"/>
      <w:pgSz w:w="11906" w:h="16838"/>
      <w:pgMar w:top="1440" w:right="1440" w:bottom="1440" w:left="1440" w:header="708" w:footer="708" w:gutter="0"/>
      <w:pgBorders/>
      <w:pgNumType w:fmt="decimal" w:start="1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Footer"/>
      <w:spacing/>
      <w:rPr/>
    </w:pPr>
  </w:p>
</w:ftr>
</file>

<file path=word/footer5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Footer"/>
      <w:spacing/>
      <w:rPr/>
    </w:pPr>
  </w:p>
</w:ftr>
</file>

<file path=word/footer7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sdt>
    <w:sdtPr>
      <w:rPr/>
      <w:id w:val="1014264922"/>
      <w:docPartObj>
        <w:docPartGallery w:val="Page Numbers (Bottom of Page)"/>
        <w:docPartUnique/>
      </w:docPartObj>
    </w:sdtPr>
    <w:sdtEndPr>
      <w:rPr/>
    </w:sdtEndPr>
    <w:sdtContent>
      <w:p>
        <w:pPr>
          <w:pStyle w:val="Footer"/>
          <w:spacing/>
          <w:jc w:val="right"/>
          <w:rPr/>
        </w:pPr>
        <w:r>
          <w:rPr/>
          <w:fldChar w:fldCharType="begin"/>
        </w:r>
        <w:r>
          <w:rPr/>
          <w:instrText xml:space="preserve">PAGE   \* MERGEFORMAT</w:instrText>
        </w:r>
        <w:r>
          <w:rPr/>
          <w:fldChar w:fldCharType="separate"/>
        </w:r>
        <w:r>
          <w:rPr>
            <w:noProof/>
          </w:rPr>
          <w:t xml:space="preserve">10</w:t>
        </w:r>
        <w:r>
          <w:rPr/>
          <w:fldChar w:fldCharType="end"/>
        </w:r>
      </w:p>
    </w:sdtContent>
  </w:sdt>
  <w:p>
    <w:pPr>
      <w:pStyle w:val="Footer"/>
      <w:spacing/>
      <w:rPr/>
    </w:pPr>
  </w:p>
</w:ftr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Header"/>
      <w:spacing/>
      <w:rPr/>
    </w:pPr>
  </w:p>
</w:hdr>
</file>

<file path=word/header4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Header"/>
      <w:spacing/>
      <w:rPr/>
    </w:pPr>
  </w:p>
</w:hdr>
</file>

<file path=word/header6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Header"/>
      <w:spacing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11281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13D21DAC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17DE65D9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1F15172B"/>
    <w:lvl w:ilvl="0">
      <w:start w:val="1"/>
      <w:numFmt w:val="decimal"/>
      <w:suff w:val="tab"/>
      <w:lvlText w:val="%1."/>
      <w:pPr>
        <w:spacing/>
        <w:ind w:left="36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08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00" w:hanging="180"/>
      </w:pPr>
      <w:rPr/>
    </w:lvl>
    <w:lvl w:ilvl="3">
      <w:start w:val="1"/>
      <w:numFmt w:val="decimal"/>
      <w:suff w:val="tab"/>
      <w:lvlText w:val="%4."/>
      <w:pPr>
        <w:spacing/>
        <w:ind w:left="2520" w:hanging="360"/>
      </w:pPr>
      <w:rPr/>
    </w:lvl>
    <w:lvl w:ilvl="4">
      <w:start w:val="1"/>
      <w:numFmt w:val="lowerLetter"/>
      <w:suff w:val="tab"/>
      <w:lvlText w:val="%5."/>
      <w:pPr>
        <w:spacing/>
        <w:ind w:left="324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3960" w:hanging="180"/>
      </w:pPr>
      <w:rPr/>
    </w:lvl>
    <w:lvl w:ilvl="6">
      <w:start w:val="1"/>
      <w:numFmt w:val="decimal"/>
      <w:suff w:val="tab"/>
      <w:lvlText w:val="%7."/>
      <w:pPr>
        <w:spacing/>
        <w:ind w:left="4680" w:hanging="360"/>
      </w:pPr>
      <w:rPr/>
    </w:lvl>
    <w:lvl w:ilvl="7">
      <w:start w:val="1"/>
      <w:numFmt w:val="lowerLetter"/>
      <w:suff w:val="tab"/>
      <w:lvlText w:val="%8."/>
      <w:pPr>
        <w:spacing/>
        <w:ind w:left="540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20" w:hanging="180"/>
      </w:pPr>
      <w:rPr/>
    </w:lvl>
  </w:abstractNum>
  <w:abstractNum w:abstractNumId="4">
    <w:nsid w:val="581D202C"/>
    <w:lvl w:ilvl="0">
      <w:start w:val="1"/>
      <w:numFmt w:val="decimal"/>
      <w:suff w:val="tab"/>
      <w:lvlText w:val="%1."/>
      <w:pPr>
        <w:spacing/>
        <w:ind w:left="36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08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00" w:hanging="180"/>
      </w:pPr>
      <w:rPr/>
    </w:lvl>
    <w:lvl w:ilvl="3">
      <w:start w:val="1"/>
      <w:numFmt w:val="decimal"/>
      <w:suff w:val="tab"/>
      <w:lvlText w:val="%4."/>
      <w:pPr>
        <w:spacing/>
        <w:ind w:left="2520" w:hanging="360"/>
      </w:pPr>
      <w:rPr/>
    </w:lvl>
    <w:lvl w:ilvl="4">
      <w:start w:val="1"/>
      <w:numFmt w:val="lowerLetter"/>
      <w:suff w:val="tab"/>
      <w:lvlText w:val="%5."/>
      <w:pPr>
        <w:spacing/>
        <w:ind w:left="324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3960" w:hanging="180"/>
      </w:pPr>
      <w:rPr/>
    </w:lvl>
    <w:lvl w:ilvl="6">
      <w:start w:val="1"/>
      <w:numFmt w:val="decimal"/>
      <w:suff w:val="tab"/>
      <w:lvlText w:val="%7."/>
      <w:pPr>
        <w:spacing/>
        <w:ind w:left="4680" w:hanging="360"/>
      </w:pPr>
      <w:rPr/>
    </w:lvl>
    <w:lvl w:ilvl="7">
      <w:start w:val="1"/>
      <w:numFmt w:val="lowerLetter"/>
      <w:suff w:val="tab"/>
      <w:lvlText w:val="%8."/>
      <w:pPr>
        <w:spacing/>
        <w:ind w:left="540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20" w:hanging="180"/>
      </w:pPr>
      <w:rPr/>
    </w:lvl>
  </w:abstractNum>
  <w:abstractNum w:abstractNumId="5">
    <w:nsid w:val="675152B6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6">
    <w:nsid w:val="75476389"/>
    <w:lvl w:ilvl="0">
      <w:start w:val="23"/>
      <w:numFmt w:val="bullet"/>
      <w:suff w:val="tab"/>
      <w:lvlText w:val="-"/>
      <w:pPr>
        <w:spacing/>
        <w:ind w:left="360" w:hanging="360"/>
      </w:pPr>
      <w:rPr>
        <w:rFonts w:ascii="Times New Roman" w:hAnsi="Times New Roman" w:eastAsiaTheme="minorHAnsi" w:cs="Times New Roman" w:hint="default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81"/>
  <w:proofState w:spelling="clean" w:grammar="dirty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="Times New Roman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spacing w:after="200" w:line="276" w:lineRule="auto"/>
    </w:pPr>
    <w:rPr>
      <w:rFonts w:asciiTheme="minorHAnsi" w:hAnsiTheme="minorHAnsi" w:cstheme="minorBidi"/>
      <w:szCs w:val="22"/>
    </w:rPr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  <w:rPr/>
  </w:style>
  <w:style w:type="character" w:styleId="HeaderChar" w:customStyle="1">
    <w:name w:val="Header Char"/>
    <w:basedOn w:val="DefaultParagraphFont"/>
    <w:link w:val="Header"/>
    <w:uiPriority w:val="99"/>
    <w:rPr>
      <w:rFonts w:asciiTheme="minorHAnsi" w:hAnsiTheme="minorHAnsi"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  <w:rPr/>
  </w:style>
  <w:style w:type="character" w:styleId="FooterChar" w:customStyle="1">
    <w:name w:val="Footer Char"/>
    <w:basedOn w:val="DefaultParagraphFont"/>
    <w:link w:val="Footer"/>
    <w:uiPriority w:val="99"/>
    <w:rPr>
      <w:rFonts w:asciiTheme="minorHAnsi" w:hAnsiTheme="minorHAnsi" w:cstheme="minorBidi"/>
      <w:szCs w:val="2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styles" Target="styles.xml" /><Relationship Id="rId9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5" Type="http://schemas.openxmlformats.org/officeDocument/2006/relationships/footer" Target="footer5.xml" /><Relationship Id="rId4" Type="http://schemas.openxmlformats.org/officeDocument/2006/relationships/header" Target="header4.xml" /><Relationship Id="rId3" Type="http://schemas.openxmlformats.org/officeDocument/2006/relationships/footer" Target="footer3.xml" /><Relationship Id="rId2" Type="http://schemas.openxmlformats.org/officeDocument/2006/relationships/header" Target="header2.xml" /><Relationship Id="rId7" Type="http://schemas.openxmlformats.org/officeDocument/2006/relationships/footer" Target="footer7.xml" /><Relationship Id="rId6" Type="http://schemas.openxmlformats.org/officeDocument/2006/relationships/header" Target="header6.xml" /><Relationship Id="rId12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Sivi tonovi">
      <a:dk1>
        <a:srgbClr val="000000"/>
      </a:dk1>
      <a:lt1>
        <a:srgbClr val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258</TotalTime>
  <Pages>11</Pages>
  <Words>2711</Words>
  <Characters>15455</Characters>
  <Application>Microsoft Office Word</Application>
  <DocSecurity>0</DocSecurity>
  <Lines>128</Lines>
  <Paragraphs>36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</dc:creator>
  <cp:keywords/>
  <dc:description/>
  <cp:lastModifiedBy>Korisnik</cp:lastModifiedBy>
  <cp:lastPrinted>2025-10-29T08:14:00Z</cp:lastPrinted>
  <cp:revision>74</cp:revision>
  <dcterms:created xsi:type="dcterms:W3CDTF">2025-10-28T09:12:00Z</dcterms:created>
  <dcterms:modified xsi:type="dcterms:W3CDTF">2025-10-29T12:46:00Z</dcterms:modified>
</cp:coreProperties>
</file>